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spacing w:before="0" w:after="120"/>
        <w:jc w:val="both"/>
        <w:rPr/>
      </w:pPr>
      <w:r>
        <w:rPr>
          <w:b/>
          <w:i/>
        </w:rPr>
        <w:t>"Federal Funds Effective Rate"</w:t>
      </w:r>
      <w:r>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spacing w:before="240" w:after="0"/>
        <w:jc w:val="both"/>
        <w:rPr/>
      </w:pPr>
      <w:r>
        <w:rPr>
          <w:b/>
          <w:i/>
        </w:rPr>
        <w:t>"Letter(s) of Credit"</w:t>
      </w:r>
      <w:r>
        <w:rPr/>
        <w:t xml:space="preserve"> means one or more irrevocable, transferable standby letters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u w:val="single"/>
        </w:rPr>
        <w:t>Schedule 1</w:t>
      </w:r>
      <w:r>
        <w:rPr/>
        <w:t xml:space="preserve"> attached hereto, with such changes to the terms in that form as the issuing bank may require and as may be acceptable to the beneficiary thereof.  </w:t>
      </w:r>
    </w:p>
    <w:p>
      <w:pPr>
        <w:pStyle w:val="Normal"/>
        <w:jc w:val="both"/>
        <w:rPr/>
      </w:pPr>
      <w:r>
        <w:rPr/>
      </w:r>
    </w:p>
    <w:p>
      <w:pPr>
        <w:pStyle w:val="Normal"/>
        <w:jc w:val="both"/>
        <w:rPr/>
      </w:pPr>
      <w:r>
        <w:rPr>
          <w:b/>
          <w:bCs/>
          <w:i/>
          <w:iCs/>
        </w:rPr>
        <w:t>"Letter of Credit Default</w:t>
      </w:r>
      <w:r>
        <w:rPr/>
        <w:t xml:space="preserve">"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u w:val="single"/>
        </w:rPr>
        <w:t>provided</w:t>
      </w:r>
      <w:r>
        <w:rPr/>
        <w:t xml:space="preserve">, </w:t>
      </w:r>
      <w:r>
        <w:rPr>
          <w:u w:val="single"/>
        </w:rPr>
        <w:t>however</w:t>
      </w:r>
      <w:r>
        <w:rPr/>
        <w:t>, that no Letter of Credit Default shall occur in any event with respect to a Letter of Credit after the time such Letter of Credit is required to be canceled or returned to a Party in accordance with the terms of this Credit Support Annex.</w:t>
      </w:r>
    </w:p>
    <w:p>
      <w:pPr>
        <w:pStyle w:val="Normal"/>
        <w:tabs>
          <w:tab w:val="left" w:pos="720" w:leader="none"/>
        </w:tabs>
        <w:spacing w:before="0" w:after="120"/>
        <w:jc w:val="both"/>
        <w:rPr/>
      </w:pPr>
      <w:r>
        <w:rPr/>
        <w:t>.</w:t>
      </w:r>
    </w:p>
    <w:p>
      <w:pPr>
        <w:pStyle w:val="Normal"/>
        <w:widowControl w:val="false"/>
        <w:tabs>
          <w:tab w:val="left" w:pos="720" w:leader="none"/>
        </w:tabs>
        <w:spacing w:before="0" w:after="120"/>
        <w:jc w:val="both"/>
        <w:rPr>
          <w:b/>
          <w:i/>
          <w:i/>
        </w:rPr>
      </w:pPr>
      <w:r>
        <w:rPr>
          <w:b/>
          <w:bCs/>
          <w:i/>
          <w:iCs/>
        </w:rPr>
        <w:t>Reference Market-maker”</w:t>
      </w:r>
      <w:r>
        <w:rPr/>
        <w:t xml:space="preserve"> means a leading dealer in the relevant market selected by the Party determining the Termination Payment owed to it in good faith from among dealers of the highest credit standing which satisfy all the criteria that such Party applies generally at the time in deciding whether to offer or to make an extension of credit.  </w:t>
      </w:r>
    </w:p>
    <w:p>
      <w:pPr>
        <w:pStyle w:val="Heading3"/>
        <w:widowControl w:val="false"/>
        <w:numPr>
          <w:ilvl w:val="0"/>
          <w:numId w:val="0"/>
        </w:numPr>
        <w:spacing w:before="0" w:after="120"/>
        <w:ind w:hanging="0" w:start="0"/>
        <w:rPr/>
      </w:pPr>
      <w:r>
        <w:rPr>
          <w:b/>
          <w:i/>
          <w:iCs/>
        </w:rPr>
        <w:t>“</w:t>
      </w:r>
      <w:r>
        <w:rPr>
          <w:b/>
          <w:i/>
          <w:iCs/>
        </w:rPr>
        <w:t>Termination Payment”</w:t>
      </w:r>
      <w:r>
        <w:rPr>
          <w:b/>
        </w:rPr>
        <w:t xml:space="preserve"> </w:t>
      </w:r>
      <w:r>
        <w:rPr>
          <w:bCs/>
        </w:rPr>
        <w:t>has the meaning set forth in Section 5.3, provided, however that</w:t>
      </w:r>
      <w:r>
        <w:rPr>
          <w:b/>
        </w:rPr>
        <w:t xml:space="preserve">, </w:t>
      </w:r>
      <w:r>
        <w:rPr>
          <w:bCs/>
        </w:rPr>
        <w:t>when it is used in Section 8.1 (c) or 8.2 (c), it means the payment made by either Party pursuant to Section 5.3 (calculated at the mid-point between the bid price and the offer price).</w:t>
      </w:r>
    </w:p>
    <w:p>
      <w:pPr>
        <w:pStyle w:val="Heading3"/>
        <w:widowControl w:val="false"/>
        <w:numPr>
          <w:ilvl w:val="0"/>
          <w:numId w:val="0"/>
        </w:numPr>
        <w:spacing w:before="0" w:after="120"/>
        <w:ind w:hanging="0" w:start="0"/>
        <w:rPr>
          <w:b/>
          <w:bCs/>
        </w:rPr>
      </w:pPr>
      <w:r>
        <w:rPr>
          <w:b/>
          <w:bCs/>
        </w:rPr>
      </w:r>
    </w:p>
    <w:p>
      <w:pPr>
        <w:pStyle w:val="BodyText"/>
        <w:rPr>
          <w:b/>
        </w:rPr>
      </w:pPr>
      <w:r>
        <w:rPr>
          <w:b/>
        </w:rPr>
      </w:r>
    </w:p>
    <w:p>
      <w:pPr>
        <w:pStyle w:val="BodyText"/>
        <w:rPr/>
      </w:pPr>
      <w:r>
        <w:rPr/>
      </w:r>
    </w:p>
    <w:p>
      <w:pPr>
        <w:pStyle w:val="BodyTextIndent2"/>
        <w:spacing w:before="0" w:after="120"/>
        <w:jc w:val="both"/>
        <w:rPr/>
      </w:pPr>
      <w:r>
        <w:rPr/>
        <w:t>[add to Article 8]</w:t>
        <w:tab/>
        <w:t>A Party that is the Secured Party may hold Performance Assurance in the form of cash or may appoint an agent to hold such Performance Assurance; provided, however, that such Secured Party may not hold such Performance Assurance if it is a Defaulting Party under this Master Agreement and any agent that such Secured Party appoints may not hold such Performance Assurance unless it is domiciled in the United States and has a Credit Rating of “BBB-” or higher by S&amp;P.  If such Secured Party or its agent fails to satisfy any of the foregoing conditions, then upon a demand made by other Party, such Secured Party shall, not later than two (2) Business Days after such demand, transfer or cause its agent to transfer all Performance Assurance held by it or such agent, as applicable, to a party that satisfies such conditions.</w:t>
      </w:r>
    </w:p>
    <w:p>
      <w:pPr>
        <w:pStyle w:val="BodyTextIndent2"/>
        <w:spacing w:before="0" w:after="120"/>
        <w:jc w:val="both"/>
        <w:rPr/>
      </w:pPr>
      <w:r>
        <w:rPr/>
        <w:tab/>
        <w:t>Unless otherwise specified by a Party that is the Secured Party, interest shall accrue on any Performance Assurance in the form of cash at the Federal Funds Effective Rate.</w:t>
      </w:r>
      <w:r>
        <w:rPr>
          <w:b/>
        </w:rPr>
        <w:t xml:space="preserve">  </w:t>
      </w:r>
      <w:r>
        <w:rPr/>
        <w:t xml:space="preserve">So long as no Event of Default with respect to the other Party has occurred and is continuing, and to the extent that an obligation to deliver Performance Assurance would not be created or increased, such Secured Party shall transfer to other Party any interest paid with respect to the Performance Assurance (the “Interest Amount”) on the last Business Day of the calendar month in which such Interest Amount was received by such Secured Party.  On or after the occurrence of an Event of Default with respect to the other Party, such Secured Party shall retain any such Interest Amount received by it in respect of the Performance Assurance until all obligations of the other Party under this Master Agreement have been satisfied.  </w:t>
      </w:r>
    </w:p>
    <w:p>
      <w:pPr>
        <w:pStyle w:val="Normal"/>
        <w:spacing w:before="240" w:after="0"/>
        <w:jc w:val="both"/>
        <w:rPr/>
      </w:pPr>
      <w:r>
        <w:rPr>
          <w:b/>
          <w:bCs/>
        </w:rPr>
        <w:tab/>
      </w:r>
      <w:r>
        <w:rPr>
          <w:b/>
          <w:bCs/>
          <w:u w:val="single"/>
        </w:rPr>
        <w:t>Letters of Credit</w:t>
      </w:r>
      <w:r>
        <w:rPr/>
        <w:t>.  Performance Assurance provided in the form of a Letter of Credit shall be subject to the following provisions.</w:t>
      </w:r>
    </w:p>
    <w:p>
      <w:pPr>
        <w:pStyle w:val="Normal"/>
        <w:spacing w:before="240" w:after="0"/>
        <w:ind w:firstLine="360" w:end="0"/>
        <w:jc w:val="both"/>
        <w:rPr/>
      </w:pPr>
      <w:r>
        <w:rPr/>
        <w:t>(a)  Unless otherwise agreed to in writing by the parties, each Letter of Credit shall be provided in accordance with this Master Agreement, and each Letter of Credit shall be maintained for the benefit of the Secured Party.  The Pledgor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(C) if a bank issuing a Letter of Credit shall fail to honor the Secured Party's properly documented request to draw on an outstanding Letter of Credit</w:t>
      </w:r>
      <w:r>
        <w:rPr>
          <w:bCs/>
        </w:rPr>
        <w:t>, provide for the benefit of the Secured Party either a substitute Letter of Credit that is issued by a bank acceptable to the Secured Party or other Performance Assurance, in each case within one (1) Business Day after such refusal.</w:t>
      </w:r>
    </w:p>
    <w:p>
      <w:pPr>
        <w:pStyle w:val="Normal"/>
        <w:spacing w:before="240" w:after="0"/>
        <w:ind w:firstLine="360" w:end="0"/>
        <w:jc w:val="both"/>
        <w:rPr/>
      </w:pPr>
      <w:r>
        <w:rPr/>
        <w:t>(b)  As one method of providing Performance Assurance, the Pledgor may increase the amount of an outstanding Letter of Credit or establish one or more additional Letters of Credit.</w:t>
      </w:r>
    </w:p>
    <w:p>
      <w:pPr>
        <w:pStyle w:val="Normal"/>
        <w:ind w:firstLine="360" w:end="0"/>
        <w:jc w:val="both"/>
        <w:rPr/>
      </w:pPr>
      <w:r>
        <w:rPr/>
      </w:r>
    </w:p>
    <w:p>
      <w:pPr>
        <w:pStyle w:val="Normal"/>
        <w:ind w:firstLine="360" w:end="0"/>
        <w:jc w:val="both"/>
        <w:rPr/>
      </w:pPr>
      <w:r>
        <w:rPr/>
        <w:t>(c)  Upon the occurrence of a Letter of Credit Default, the Pledgor agrees to deliver to the Secured Party either a substitute Letter of Credit or other Performance Assurance, in each case on or before the first Business Day after the occurrence thereof (or the fifth (5th) Business Day after the occurrence thereof if only clause (a) under the definition of Letter of Credit Default applies).</w:t>
      </w:r>
    </w:p>
    <w:p>
      <w:pPr>
        <w:pStyle w:val="Normal"/>
        <w:spacing w:before="240" w:after="0"/>
        <w:ind w:firstLine="360" w:end="0"/>
        <w:jc w:val="both"/>
        <w:rPr/>
      </w:pPr>
      <w:r>
        <w:rPr/>
        <w:t>(d) (i) Upon or at any time after the occurrence and continuation of an Event of Default with respect to the Pledgor, or (ii) if an Early Termination Date has occurred or been designated as a result of an Event of Default with respect to the Pledgor, then 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Pledgor’s obligations to the Secured Party and the Secured Party shall have the rights and remedies set forth in this Master Agreement with respect to such cash proceeds.  Notwithstanding the Secured Party’s receipt of cash under the Letter of Credit, the Pledgor shall remain liable (y) for any failure to transfer sufficient Performance Assurance or (z) for any amounts owing to the Secured Party and remaining unpaid after the application of the amounts so drawn by the Secured Party.</w:t>
      </w:r>
    </w:p>
    <w:p>
      <w:pPr>
        <w:pStyle w:val="Normal"/>
        <w:spacing w:before="240" w:after="0"/>
        <w:ind w:firstLine="360" w:end="0"/>
        <w:jc w:val="both"/>
        <w:rPr/>
      </w:pPr>
      <w:r>
        <w:rPr/>
        <w:t>(e)  In all cases, the costs and expenses (including but not limited to the reasonable costs, expenses, and attorneys' fees of the Secured Party) of establishing, renewing, substituting, canceling, and increasing the amount of (as the case may be) a Letter of Credit shall be borne by the Pledgor.</w:t>
      </w:r>
    </w:p>
    <w:p>
      <w:pPr>
        <w:pStyle w:val="Normal"/>
        <w:tabs>
          <w:tab w:val="clear" w:pos="720"/>
          <w:tab w:val="left" w:pos="0" w:leader="none"/>
        </w:tabs>
        <w:suppressAutoHyphens w:val="true"/>
        <w:jc w:val="both"/>
        <w:rPr/>
      </w:pPr>
      <w:r>
        <w:rPr/>
        <w:tab/>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b/>
          <w:bCs/>
        </w:rPr>
        <w:tab/>
      </w:r>
      <w:r>
        <w:rPr>
          <w:b/>
          <w:bCs/>
          <w:u w:val="single"/>
        </w:rPr>
        <w:t>Exercise of Rights Against Performance Assurance</w:t>
      </w:r>
      <w:r>
        <w:rPr>
          <w:b/>
          <w:bCs/>
        </w:rPr>
        <w:t>.</w:t>
      </w:r>
    </w:p>
    <w:p>
      <w:pPr>
        <w:pStyle w:val="Normal"/>
        <w:tabs>
          <w:tab w:val="clear" w:pos="720"/>
          <w:tab w:val="left" w:pos="0" w:leader="none"/>
        </w:tabs>
        <w:suppressAutoHyphens w:val="true"/>
        <w:jc w:val="both"/>
        <w:rPr>
          <w:b/>
          <w:bCs/>
        </w:rPr>
      </w:pPr>
      <w:r>
        <w:rPr>
          <w:b/>
          <w:bCs/>
        </w:rPr>
      </w:r>
    </w:p>
    <w:p>
      <w:pPr>
        <w:pStyle w:val="BodyText3"/>
        <w:jc w:val="both"/>
        <w:rPr/>
      </w:pPr>
      <w:r>
        <w:rPr/>
        <w:tab/>
      </w:r>
      <w:r>
        <w:rPr>
          <w:sz w:val="24"/>
        </w:rPr>
        <w:t>(a)</w:t>
        <w:tab/>
        <w:t>In the event that (i) an Event of Default with respect to the Pledgor has occurred and is continuing or (ii) an Early Termination Date has occurred or been designated as a result of an Event of Default with respect to the Pledgor, the Secured Party may exercise any one or more of the rights and remedies provided under this Master Agreement as otherwise available under applicable law.  Without limiting the foregoing, if at any time (i) an Event of Default with respect to the Pledgor has occurred and is continuing, or (ii) an Early Termination Date occurs or is deemed to occur as a result of an Event of Default with respect to the Pledgor, then the Secured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pPr>
      <w:r>
        <w:rPr/>
        <w:t>(i)</w:t>
        <w:tab/>
        <w:t>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the Secured Party;</w:t>
      </w:r>
    </w:p>
    <w:p>
      <w:pPr>
        <w:pStyle w:val="Normal"/>
        <w:tabs>
          <w:tab w:val="left" w:pos="720" w:leader="none"/>
        </w:tabs>
        <w:suppressAutoHyphens w:val="true"/>
        <w:jc w:val="both"/>
        <w:rPr/>
      </w:pPr>
      <w:r>
        <w:rPr/>
      </w:r>
    </w:p>
    <w:p>
      <w:pPr>
        <w:pStyle w:val="Normal"/>
        <w:tabs>
          <w:tab w:val="left" w:pos="720" w:leader="none"/>
        </w:tabs>
        <w:suppressAutoHyphens w:val="true"/>
        <w:ind w:hanging="1440" w:start="1440" w:end="0"/>
        <w:jc w:val="both"/>
        <w:rPr/>
      </w:pPr>
      <w:r>
        <w:rPr/>
        <w:tab/>
        <w:t>(ii)</w:t>
        <w:tab/>
        <w:t xml:space="preserve">the right to set off any Performance Assurance held by or for the benefit of the Secured Party against and in satisfaction of any amount payable by the Pledgor in respect of any of its Obligations; </w:t>
      </w:r>
    </w:p>
    <w:p>
      <w:pPr>
        <w:pStyle w:val="Normal"/>
        <w:tabs>
          <w:tab w:val="left" w:pos="720" w:leader="none"/>
        </w:tabs>
        <w:suppressAutoHyphens w:val="true"/>
        <w:jc w:val="both"/>
        <w:rPr/>
      </w:pPr>
      <w:r>
        <w:rPr/>
      </w:r>
    </w:p>
    <w:p>
      <w:pPr>
        <w:pStyle w:val="Normal"/>
        <w:tabs>
          <w:tab w:val="clear" w:pos="720"/>
          <w:tab w:val="left" w:pos="1440" w:leader="none"/>
        </w:tabs>
        <w:suppressAutoHyphens w:val="true"/>
        <w:ind w:hanging="720" w:start="1440" w:end="0"/>
        <w:jc w:val="both"/>
        <w:rPr/>
      </w:pPr>
      <w:r>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pPr>
      <w:r>
        <w:rPr/>
      </w:r>
    </w:p>
    <w:p>
      <w:pPr>
        <w:pStyle w:val="Normal"/>
        <w:tabs>
          <w:tab w:val="clear" w:pos="720"/>
          <w:tab w:val="left" w:pos="1440" w:leader="none"/>
        </w:tabs>
        <w:suppressAutoHyphens w:val="true"/>
        <w:ind w:hanging="720" w:start="1440" w:end="0"/>
        <w:jc w:val="both"/>
        <w:rPr/>
      </w:pPr>
      <w:r>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Pledgor, including any right of equity or redemption by the Pledgor (with the Secured Party having the right to purchase any or all of the Performance Assurance to be sold) and to apply the proceeds from the liquidation of such Performance Assurance to and in satisfaction of any amount payable by the Pledgor in respect of any of its Obligations in such order as the Secured Party may elect.</w:t>
      </w:r>
    </w:p>
    <w:p>
      <w:pPr>
        <w:pStyle w:val="PASSParawIndent"/>
        <w:rPr>
          <w:rFonts w:ascii="Times New Roman" w:hAnsi="Times New Roman" w:cs="Times New Roman"/>
          <w:sz w:val="24"/>
        </w:rPr>
      </w:pPr>
      <w:r>
        <w:rPr>
          <w:rFonts w:cs="Times New Roman" w:ascii="Times New Roman" w:hAnsi="Times New Roman"/>
          <w:sz w:val="24"/>
        </w:rPr>
        <w:t>(b)</w:t>
        <w:tab/>
        <w:t>The Pledgor hereby irrevocably constitutes and appoints the Secured Party and any officer or agent thereof, with full power of substitution, as the Pledgor’s true and lawful attorney-in-fact with full irrevocable power and authority to act in the name, place and stead of the Pledgor or in the Secured Party’s own name, from time to time in the Secured Party’s discretion, for the purpose of taking any and all action and executing and delivering any and all documents or instruments which may be necessary or desirable to accomplish the purposes of Section _______.</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pPr>
      <w:r>
        <w:rPr/>
        <w:tab/>
        <w:t>(c)</w:t>
        <w:tab/>
        <w:t>For the avoidance of doubt, it is hereby acknowledged that the Secured Party shall be under no obligation to prioritize the order with respect to which it exercises any one or more of its rights and remedies provided under the Agreement or as otherwise available under applicable law.  The Pledgor shall in all events remain liable to the Secured Party for any amount payable by the Pledgor in respect of any of its Obligations remaining unpaid after any such liquidation, application and set off.</w:t>
      </w:r>
    </w:p>
    <w:p>
      <w:pPr>
        <w:pStyle w:val="Normal"/>
        <w:spacing w:before="240" w:after="0"/>
        <w:ind w:firstLine="360" w:end="0"/>
        <w:jc w:val="both"/>
        <w:rPr/>
      </w:pPr>
      <w:r>
        <w:rPr/>
        <w:tab/>
        <w:t>(d)</w:t>
        <w:tab/>
        <w:t>In addition to the provisions of Section ______, if at any time (i) an Event of Default with respect to the Secured Party has occurred and is continuing or (ii) an Early Termination Date has occurred or been designated as a result of an Event of Default with respect to the Secured Party, then:</w:t>
      </w:r>
    </w:p>
    <w:p>
      <w:pPr>
        <w:pStyle w:val="Normal"/>
        <w:spacing w:before="240" w:after="0"/>
        <w:ind w:start="720" w:end="0"/>
        <w:jc w:val="both"/>
        <w:rPr/>
      </w:pPr>
      <w:r>
        <w:rPr/>
        <w:t xml:space="preserve">(1)  the Secured Party will be obligated immediately to transfer all Performance Assurance (including any Letter of Credit) and the Interest Amount, if any, to the Pledgor; </w:t>
      </w:r>
    </w:p>
    <w:p>
      <w:pPr>
        <w:pStyle w:val="BodyTextIndent3"/>
        <w:jc w:val="both"/>
        <w:rPr>
          <w:sz w:val="24"/>
        </w:rPr>
      </w:pPr>
      <w:r>
        <w:rPr>
          <w:sz w:val="24"/>
        </w:rPr>
      </w:r>
    </w:p>
    <w:p>
      <w:pPr>
        <w:pStyle w:val="BodyTextIndent3"/>
        <w:jc w:val="both"/>
        <w:rPr>
          <w:sz w:val="24"/>
        </w:rPr>
      </w:pPr>
      <w:r>
        <w:rPr>
          <w:sz w:val="24"/>
        </w:rPr>
        <w:t>(2)  the Pledgor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Pledgor as required in (1) above, setoff amounts payable to the Secured Party against the Performance Assurance (other than Letters of Credit) held by the Secured Party or to the extent its rights to setoff are not exercised, withhold payment of any remaining amounts payable by the Pledgor, up to the value of any remaining Performance Assurance held by the Secured Party, until the Performance Assurance is Transferred to the Pledgor; and (z) exercise rights and remedies available to the Pledgor under the terms of any Letter of Credit; and</w:t>
      </w:r>
    </w:p>
    <w:p>
      <w:pPr>
        <w:pStyle w:val="BodyTextIndent2"/>
        <w:ind w:hanging="0" w:start="720" w:end="0"/>
        <w:jc w:val="both"/>
        <w:rPr>
          <w:szCs w:val="24"/>
        </w:rPr>
      </w:pPr>
      <w:r>
        <w:rPr>
          <w:szCs w:val="24"/>
        </w:rPr>
        <w:t>(3)</w:t>
        <w:tab/>
        <w:t>the Secured Party shall be prohibited from drawing on any Letter of Credit that has been posted by the Pledgor for its benefit.</w:t>
      </w:r>
    </w:p>
    <w:p>
      <w:pPr>
        <w:pStyle w:val="Normal"/>
        <w:tabs>
          <w:tab w:val="clear" w:pos="720"/>
          <w:tab w:val="left" w:pos="-1080" w:leader="none"/>
        </w:tabs>
        <w:suppressAutoHyphens w:val="true"/>
        <w:jc w:val="both"/>
        <w:rPr>
          <w:szCs w:val="24"/>
        </w:rPr>
      </w:pPr>
      <w:r>
        <w:rPr>
          <w:szCs w:val="24"/>
        </w:rPr>
      </w:r>
    </w:p>
    <w:p>
      <w:pPr>
        <w:pStyle w:val="Normal"/>
        <w:tabs>
          <w:tab w:val="clear" w:pos="720"/>
          <w:tab w:val="left" w:pos="-1080" w:leader="none"/>
        </w:tabs>
        <w:suppressAutoHyphens w:val="true"/>
        <w:jc w:val="both"/>
        <w:rPr/>
      </w:pPr>
      <w:r>
        <w:rPr/>
      </w:r>
    </w:p>
    <w:p>
      <w:pPr>
        <w:pStyle w:val="Normal"/>
        <w:tabs>
          <w:tab w:val="clear" w:pos="720"/>
          <w:tab w:val="left" w:pos="-1080" w:leader="none"/>
        </w:tabs>
        <w:suppressAutoHyphens w:val="true"/>
        <w:jc w:val="both"/>
        <w:rPr/>
      </w:pPr>
      <w:r>
        <w:rPr>
          <w:b/>
          <w:bCs/>
        </w:rPr>
        <w:t>9.</w:t>
        <w:tab/>
      </w:r>
      <w:r>
        <w:rPr>
          <w:b/>
          <w:bCs/>
          <w:u w:val="single"/>
        </w:rPr>
        <w:t>Disputed Calculations</w:t>
      </w:r>
    </w:p>
    <w:p>
      <w:pPr>
        <w:pStyle w:val="BodyText"/>
        <w:rPr>
          <w:b/>
          <w:bCs/>
          <w:u w:val="single"/>
        </w:rPr>
      </w:pPr>
      <w:r>
        <w:rPr>
          <w:b/>
          <w:bCs/>
          <w:u w:val="single"/>
        </w:rPr>
      </w:r>
    </w:p>
    <w:p>
      <w:pPr>
        <w:pStyle w:val="Normal"/>
        <w:spacing w:before="240" w:after="0"/>
        <w:jc w:val="both"/>
        <w:rPr/>
      </w:pPr>
      <w:r>
        <w:rPr/>
        <w:tab/>
        <w:tab/>
        <w:t xml:space="preserve">(a)  If the Pledgor shall dispute the amount of Performance Assurance requested by the Secured Party and such dispute relates to the amount of the Termination Payment claimed by the Secured Party, then the Pledgor shall </w:t>
      </w:r>
      <w:r>
        <w:rPr>
          <w:bCs/>
        </w:rPr>
        <w:t>(i) notify the Secured Party of the existence and nature of the dispute not later than the Notification Time on the first Business Day following the date that the demand for Performance Assurance is made by the Secured Party pursuant to Section ________, as applicable,</w:t>
      </w:r>
      <w:r>
        <w:rPr/>
        <w:t xml:space="preserve"> and (ii) provide Performance Assurance to or for the benefit of the Secured Party in an amount equal to the Pledgor's own estimate, made in good faith and in a commercially reasonable manner, of its collateral requirement in accordance with Section _________, as applicable.  In all such cases, the parties thereafter shall promptly consult with each other in order to reconcile the two conflicting amounts.  </w:t>
      </w:r>
      <w:r>
        <w:rPr>
          <w:bCs/>
        </w:rPr>
        <w:t>If the parties have not been able to resolve their dispute on or before the first Business Day following the date that the demand is made by the Secured Party, then the Secured Party shall recalculate its Termination Payment by requesting quotations from two (2) Reference Market-Makers (taking the arithmetic average of those obtained to obtain the average Termination Payment) for the purpose of recalculating the Termination Payment in respect of which the parties disagree, and the Secured Party shall inform the Pledgor of the results of such recalculation (in reasonable detail).</w:t>
      </w:r>
      <w:r>
        <w:rPr/>
        <w:t xml:space="preserve">  Performance Assurance shall thereupon be provided, returned, or reduced, if necessary, on the next Business Day in accordance with the results of such recalculation.</w:t>
      </w:r>
    </w:p>
    <w:p>
      <w:pPr>
        <w:pStyle w:val="Normal"/>
        <w:spacing w:before="240" w:after="0"/>
        <w:ind w:firstLine="360" w:end="0"/>
        <w:jc w:val="both"/>
        <w:rPr>
          <w:b/>
        </w:rPr>
      </w:pPr>
      <w:r>
        <w:rPr/>
        <w:t xml:space="preserve">(b)  If the Secured Party shall dispute the amount of Performance Assurance to be reduced by the Secured Party and such dispute relates to the amount of the Termination Payment claimed by the Secured Party, then the Secured Party shall (i) </w:t>
      </w:r>
      <w:r>
        <w:rPr>
          <w:bCs/>
        </w:rPr>
        <w:t>notify the Pledgor of the existence and nature of the dispute not later than the Notification Time on the first Business Day following the date that the demand to reduce Performance Assurance is made by the Pledgor pursuant to Section ____________, as applicable, and (ii) effect the reduction of Performance Assurance to or for the benefit of the Pledgor in an amount equal to the Secured Party's own estimate, made in good faith and in a commercially reasonable manner, of the Pledgor’s collateral requirement in accordance with Section _________, as applicable</w:t>
      </w:r>
      <w:r>
        <w:rPr/>
        <w:t xml:space="preserve">.  In all such cases, the parties thereafter shall promptly consult with each other in order to reconcile the two conflicting amounts.  </w:t>
      </w:r>
      <w:r>
        <w:rPr>
          <w:bCs/>
        </w:rPr>
        <w:t>If the parties have not been able to resolve their dispute on or before the first Business Day following the date that the demand is made by the Pledgor, then the Secured Party shall recalculate its Termination Payment by requesting quotations from two (2) Reference Market-Makers (taking the arithmetic average of those obtained to obtain the average Termination Payment) for the purpose of recalculating the Termination Payment in respect of which the parties disagree, and the Secured Party shall inform the Pledgor of the results of such recalculation (in reasonable detail).</w:t>
      </w:r>
      <w:r>
        <w:rPr/>
        <w:t xml:space="preserve">  Performance Assurance shall thereupon be provided, returned, or reduced, if necessary,</w:t>
      </w:r>
      <w:r>
        <w:rPr>
          <w:bCs/>
        </w:rPr>
        <w:t xml:space="preserve"> on the next Business Day </w:t>
      </w:r>
      <w:r>
        <w:rPr/>
        <w:t>in accordance with the results of such recalculation.</w:t>
      </w:r>
    </w:p>
    <w:p>
      <w:pPr>
        <w:pStyle w:val="BodyText"/>
        <w:rPr>
          <w:b/>
        </w:rPr>
      </w:pPr>
      <w:r>
        <w:rPr>
          <w:b/>
        </w:rPr>
      </w:r>
    </w:p>
    <w:p>
      <w:pPr>
        <w:pStyle w:val="Normal"/>
        <w:tabs>
          <w:tab w:val="left" w:pos="720" w:leader="none"/>
        </w:tabs>
        <w:suppressAutoHyphens w:val="true"/>
        <w:ind w:start="720" w:end="0"/>
        <w:jc w:val="both"/>
        <w:rPr/>
      </w:pPr>
      <w:r>
        <w:rPr/>
        <w:tab/>
      </w:r>
      <w:r>
        <w:br w:type="page"/>
      </w:r>
    </w:p>
    <w:p>
      <w:pPr>
        <w:pStyle w:val="Normal"/>
        <w:tabs>
          <w:tab w:val="left" w:pos="720" w:leader="none"/>
        </w:tabs>
        <w:suppressAutoHyphens w:val="true"/>
        <w:ind w:start="720" w:end="0"/>
        <w:jc w:val="both"/>
        <w:rPr/>
      </w:pPr>
      <w:r>
        <w:rPr/>
      </w:r>
    </w:p>
    <w:p>
      <w:pPr>
        <w:pStyle w:val="Normal"/>
        <w:jc w:val="center"/>
        <w:rPr>
          <w:u w:val="single"/>
        </w:rPr>
      </w:pPr>
      <w:r>
        <w:rPr>
          <w:u w:val="single"/>
        </w:rPr>
        <w:t xml:space="preserve">SCHEDULE 1 </w:t>
      </w:r>
    </w:p>
    <w:p>
      <w:pPr>
        <w:pStyle w:val="Normal"/>
        <w:jc w:val="center"/>
        <w:rPr/>
      </w:pPr>
      <w:r>
        <w:rPr/>
      </w:r>
    </w:p>
    <w:p>
      <w:pPr>
        <w:pStyle w:val="Normal"/>
        <w:jc w:val="center"/>
        <w:rPr/>
      </w:pPr>
      <w:r>
        <w:rPr/>
        <w:t>IRREVOCABLE STANDBY LETTER OF CREDIT FORMAT</w:t>
      </w:r>
    </w:p>
    <w:p>
      <w:pPr>
        <w:pStyle w:val="Normal"/>
        <w:jc w:val="center"/>
        <w:rPr/>
      </w:pPr>
      <w:r>
        <w:rPr/>
        <w:t xml:space="preserve">DATE OF ISSUANCE:  </w:t>
      </w:r>
      <w:r>
        <w:rPr>
          <w:u w:val="single"/>
        </w:rPr>
        <w:tab/>
        <w:tab/>
        <w:tab/>
      </w:r>
    </w:p>
    <w:p>
      <w:pPr>
        <w:pStyle w:val="Normal"/>
        <w:rPr/>
      </w:pPr>
      <w:r>
        <w:rPr>
          <w:b/>
        </w:rPr>
        <w:t>[</w:t>
      </w:r>
      <w:r>
        <w:rPr/>
        <w:t>Address</w:t>
      </w:r>
      <w:r>
        <w:rPr>
          <w:b/>
        </w:rPr>
        <w:t>]</w:t>
      </w:r>
    </w:p>
    <w:p>
      <w:pPr>
        <w:pStyle w:val="Normal"/>
        <w:rPr/>
      </w:pPr>
      <w:r>
        <w:rPr/>
      </w:r>
    </w:p>
    <w:p>
      <w:pPr>
        <w:pStyle w:val="Normal"/>
        <w:rPr/>
      </w:pPr>
      <w:r>
        <w:rPr/>
        <w:tab/>
        <w:t>Re:  Credit No. _______________</w:t>
      </w:r>
    </w:p>
    <w:p>
      <w:pPr>
        <w:pStyle w:val="Normal"/>
        <w:rPr/>
      </w:pPr>
      <w:r>
        <w:rPr/>
      </w:r>
    </w:p>
    <w:p>
      <w:pPr>
        <w:pStyle w:val="Normal"/>
        <w:jc w:val="both"/>
        <w:rPr/>
      </w:pPr>
      <w:r>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u w:val="single"/>
        </w:rPr>
        <w:t>Location</w:t>
      </w:r>
      <w:r>
        <w:rPr/>
        <w:t>) on or before the expiration hereof against presentation to us of one or more of the following statements, dated and signed by a representative of the beneficiary:</w:t>
      </w:r>
    </w:p>
    <w:p>
      <w:pPr>
        <w:pStyle w:val="Normal"/>
        <w:jc w:val="both"/>
        <w:rPr/>
      </w:pPr>
      <w:r>
        <w:rPr/>
      </w:r>
    </w:p>
    <w:p>
      <w:pPr>
        <w:pStyle w:val="Normal"/>
        <w:ind w:start="360" w:end="0"/>
        <w:jc w:val="both"/>
        <w:rPr/>
      </w:pPr>
      <w:r>
        <w:rPr/>
        <w:t>1.</w:t>
        <w:tab/>
        <w:t>“An Event of Default (as defined in the Master Power Purchase &amp;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ind w:hanging="720" w:start="720" w:end="0"/>
        <w:jc w:val="both"/>
        <w:rPr/>
      </w:pPr>
      <w:r>
        <w:rPr/>
        <w:t xml:space="preserve"> </w:t>
      </w:r>
    </w:p>
    <w:p>
      <w:pPr>
        <w:pStyle w:val="Normal"/>
        <w:ind w:start="360" w:end="0"/>
        <w:jc w:val="both"/>
        <w:rPr/>
      </w:pPr>
      <w:r>
        <w:rPr/>
        <w:t>2.</w:t>
        <w:tab/>
        <w:t>“An Early Termination Date (as defined in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p>
    <w:p>
      <w:pPr>
        <w:pStyle w:val="BodyTextIndent2"/>
        <w:tabs>
          <w:tab w:val="clear" w:pos="720"/>
          <w:tab w:val="left" w:pos="360" w:leader="none"/>
        </w:tabs>
        <w:rPr>
          <w:szCs w:val="24"/>
        </w:rPr>
      </w:pPr>
      <w:r>
        <w:rPr>
          <w:szCs w:val="24"/>
        </w:rPr>
      </w:r>
    </w:p>
    <w:p>
      <w:pPr>
        <w:pStyle w:val="Normal"/>
        <w:tabs>
          <w:tab w:val="left" w:pos="720" w:leader="none"/>
        </w:tabs>
        <w:jc w:val="both"/>
        <w:rPr>
          <w:szCs w:val="24"/>
        </w:rPr>
      </w:pPr>
      <w:r>
        <w:rPr>
          <w:szCs w:val="24"/>
        </w:rPr>
      </w:r>
    </w:p>
    <w:p>
      <w:pPr>
        <w:pStyle w:val="Normal"/>
        <w:tabs>
          <w:tab w:val="left" w:pos="720" w:leader="none"/>
        </w:tabs>
        <w:jc w:val="both"/>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pPr>
      <w:r>
        <w:rPr/>
        <w:tab/>
      </w:r>
    </w:p>
    <w:p>
      <w:pPr>
        <w:pStyle w:val="Normal"/>
        <w:tabs>
          <w:tab w:val="left" w:pos="720" w:leader="none"/>
        </w:tabs>
        <w:jc w:val="both"/>
        <w:rPr/>
      </w:pPr>
      <w:r>
        <w:rPr/>
        <w:tab/>
        <w:t>We hereby agree with you that documents drawn under and in compliance with the terms of this Letter of Credit shall be duly honored upon presentation as specified.</w:t>
      </w:r>
    </w:p>
    <w:p>
      <w:pPr>
        <w:pStyle w:val="Normal"/>
        <w:tabs>
          <w:tab w:val="left" w:pos="720" w:leader="none"/>
        </w:tabs>
        <w:jc w:val="both"/>
        <w:rPr/>
      </w:pPr>
      <w:r>
        <w:rPr/>
      </w:r>
    </w:p>
    <w:p>
      <w:pPr>
        <w:pStyle w:val="Normal"/>
        <w:tabs>
          <w:tab w:val="left" w:pos="720" w:leader="none"/>
        </w:tabs>
        <w:jc w:val="both"/>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pPr>
      <w:r>
        <w:rPr/>
        <w:tab/>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pPr>
      <w:r>
        <w:rPr/>
      </w:r>
    </w:p>
    <w:p>
      <w:pPr>
        <w:pStyle w:val="Normal"/>
        <w:tabs>
          <w:tab w:val="left" w:pos="720" w:leader="none"/>
        </w:tabs>
        <w:jc w:val="both"/>
        <w:rPr/>
      </w:pPr>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pPr>
      <w:r>
        <w:rPr/>
      </w:r>
    </w:p>
    <w:p>
      <w:pPr>
        <w:pStyle w:val="BodyText3"/>
        <w:tabs>
          <w:tab w:val="left" w:pos="720" w:leader="none"/>
        </w:tabs>
        <w:rPr>
          <w:sz w:val="24"/>
        </w:rPr>
      </w:pPr>
      <w:r>
        <w:rPr>
          <w:sz w:val="24"/>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4"/>
        </w:rPr>
      </w:pPr>
      <w:r>
        <w:rPr>
          <w:sz w:val="24"/>
        </w:rPr>
      </w:r>
    </w:p>
    <w:p>
      <w:pPr>
        <w:pStyle w:val="Normal"/>
        <w:jc w:val="center"/>
        <w:rPr>
          <w:lang w:val="en-CA" w:eastAsia="en-CA"/>
        </w:rPr>
      </w:pPr>
      <w:r>
        <w:rPr>
          <w:b/>
        </w:rPr>
        <w:t>[</w:t>
      </w:r>
      <w:r>
        <w:rPr/>
        <w:t>BANK SIGNATURE</w:t>
      </w:r>
      <w:r>
        <w:rPr>
          <w:b/>
        </w:rPr>
        <w:t>]</w:t>
      </w:r>
    </w:p>
    <w:p>
      <w:pPr>
        <w:pStyle w:val="Normal"/>
        <w:rPr>
          <w:lang w:val="en-CA" w:eastAsia="en-CA"/>
        </w:rPr>
      </w:pPr>
      <w:r>
        <w:rPr>
          <w:lang w:val="en-CA" w:eastAsia="en-CA"/>
        </w:rPr>
      </w:r>
    </w:p>
    <w:p>
      <w:pPr>
        <w:pStyle w:val="Normal"/>
        <w:jc w:val="center"/>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/mnt/main-storage/datasets/enron-docs/doc/EEI_Additional_Collateral_Language.doc</w:t>
    </w:r>
    <w:r>
      <w:rPr>
        <w:sz w:val="16"/>
      </w:rPr>
      <w:fldChar w:fldCharType="end"/>
    </w:r>
  </w:p>
  <w:p>
    <w:pPr>
      <w:pStyle w:val="Footer"/>
      <w:jc w:val="cen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BodyText"/>
    <w:qFormat/>
    <w:pPr>
      <w:numPr>
        <w:ilvl w:val="7"/>
        <w:numId w:val="1"/>
      </w:numPr>
      <w:spacing w:before="0" w:after="200"/>
      <w:outlineLvl w:val="7"/>
    </w:pPr>
    <w:rPr>
      <w:i/>
      <w:sz w:val="20"/>
      <w:szCs w:val="20"/>
    </w:rPr>
  </w:style>
  <w:style w:type="paragraph" w:styleId="Heading9">
    <w:name w:val="heading 9"/>
    <w:basedOn w:val="Normal"/>
    <w:next w:val="BodyText"/>
    <w:qFormat/>
    <w:pPr>
      <w:numPr>
        <w:ilvl w:val="8"/>
        <w:numId w:val="1"/>
      </w:numPr>
      <w:spacing w:before="0" w:after="200"/>
      <w:outlineLvl w:val="8"/>
    </w:pPr>
    <w:rPr>
      <w:b/>
      <w:i/>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Arial Narrow" w:hAnsi="Arial Narrow" w:cs="Arial Narrow"/>
      <w:sz w:val="20"/>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Bold" w:hAnsi="Times New Roman Bold" w:cs="BauerBodoni-Bold"/>
      <w:b/>
      <w:i w:val="false"/>
      <w:sz w:val="24"/>
    </w:rPr>
  </w:style>
  <w:style w:type="character" w:styleId="WW8Num34z1">
    <w:name w:val="WW8Num34z1"/>
    <w:qFormat/>
    <w:rPr>
      <w:rFonts w:ascii="Times New Roman" w:hAnsi="Times New Roman" w:cs="Times New Roman"/>
      <w:b w:val="false"/>
      <w:i w:val="false"/>
      <w:sz w:val="24"/>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b/>
      <w:u w:val="single"/>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b/>
      <w:u w:val="single"/>
    </w:rPr>
  </w:style>
  <w:style w:type="character" w:styleId="WW8Num77z0">
    <w:name w:val="WW8Num77z0"/>
    <w:qFormat/>
    <w:rPr>
      <w:rFonts w:ascii="Wingdings" w:hAnsi="Wingdings" w:cs="Wingdings"/>
    </w:rPr>
  </w:style>
  <w:style w:type="character" w:styleId="WW8Num78z0">
    <w:name w:val="WW8Num78z0"/>
    <w:qFormat/>
    <w:rPr>
      <w:b/>
      <w:u w:val="single"/>
    </w:rPr>
  </w:style>
  <w:style w:type="character" w:styleId="WW8Num79z0">
    <w:name w:val="WW8Num79z0"/>
    <w:qFormat/>
    <w:rPr>
      <w:rFonts w:ascii="Times New Roman" w:hAnsi="Times New Roman" w:cs="Times New Roman"/>
      <w:b/>
      <w:i w:val="false"/>
      <w:caps/>
      <w:sz w:val="24"/>
    </w:rPr>
  </w:style>
  <w:style w:type="character" w:styleId="WW8Num79z1">
    <w:name w:val="WW8Num79z1"/>
    <w:qFormat/>
    <w:rPr>
      <w:rFonts w:ascii="Times New Roman" w:hAnsi="Times New Roman" w:cs="Times New Roman"/>
      <w:b w:val="false"/>
      <w:i w:val="false"/>
      <w:sz w:val="24"/>
      <w:u w:val="none"/>
    </w:rPr>
  </w:style>
  <w:style w:type="character" w:styleId="WW8Num79z2">
    <w:name w:val="WW8Num79z2"/>
    <w:qFormat/>
    <w:rPr>
      <w:rFonts w:ascii="Times New Roman" w:hAnsi="Times New Roman" w:cs="Times New Roman"/>
      <w:b w:val="false"/>
      <w:i w:val="false"/>
      <w:sz w:val="24"/>
    </w:rPr>
  </w:style>
  <w:style w:type="character" w:styleId="WW8Num79z5">
    <w:name w:val="WW8Num79z5"/>
    <w:qFormat/>
    <w:rPr>
      <w:rFonts w:ascii="Times New Roman" w:hAnsi="Times New Roman" w:cs="Times New Roman"/>
      <w:b/>
      <w:i w:val="false"/>
      <w:sz w:val="24"/>
      <w:u w:val="none"/>
    </w:rPr>
  </w:style>
  <w:style w:type="character" w:styleId="WW8Num80z0">
    <w:name w:val="WW8Num80z0"/>
    <w:qFormat/>
    <w:rPr>
      <w:sz w:val="18"/>
    </w:rPr>
  </w:style>
  <w:style w:type="character" w:styleId="WW8Num81z0">
    <w:name w:val="WW8Num81z0"/>
    <w:qFormat/>
    <w:rPr>
      <w:rFonts w:ascii="Wingdings" w:hAnsi="Wingdings" w:cs="Wingdings"/>
    </w:rPr>
  </w:style>
  <w:style w:type="character" w:styleId="WW8Num82z0">
    <w:name w:val="WW8Num82z0"/>
    <w:qFormat/>
    <w:rPr>
      <w:b/>
      <w:u w:val="single"/>
    </w:rPr>
  </w:style>
  <w:style w:type="character" w:styleId="WW8Num83z0">
    <w:name w:val="WW8Num83z0"/>
    <w:qFormat/>
    <w:rPr/>
  </w:style>
  <w:style w:type="character" w:styleId="WW8Num83z1">
    <w:name w:val="WW8Num83z1"/>
    <w:qFormat/>
    <w:rPr>
      <w:b/>
    </w:rPr>
  </w:style>
  <w:style w:type="character" w:styleId="WW8Num84z0">
    <w:name w:val="WW8Num84z0"/>
    <w:qFormat/>
    <w:rPr/>
  </w:style>
  <w:style w:type="character" w:styleId="WW8Num84z1">
    <w:name w:val="WW8Num84z1"/>
    <w:qFormat/>
    <w:rPr>
      <w:rFonts w:ascii="Times New Roman" w:hAnsi="Times New Roman" w:cs="Times New Roman"/>
      <w:b w:val="false"/>
      <w:i w:val="false"/>
      <w:sz w:val="24"/>
      <w:u w:val="none"/>
    </w:rPr>
  </w:style>
  <w:style w:type="character" w:styleId="WW8Num84z2">
    <w:name w:val="WW8Num84z2"/>
    <w:qFormat/>
    <w:rPr>
      <w:rFonts w:ascii="Times New Roman" w:hAnsi="Times New Roman" w:cs="Times New Roman"/>
      <w:b w:val="false"/>
      <w:i w:val="false"/>
      <w:sz w:val="24"/>
    </w:rPr>
  </w:style>
  <w:style w:type="character" w:styleId="WW8Num84z5">
    <w:name w:val="WW8Num84z5"/>
    <w:qFormat/>
    <w:rPr>
      <w:rFonts w:ascii="Times New Roman" w:hAnsi="Times New Roman" w:cs="Times New Roman"/>
      <w:b/>
      <w:i w:val="false"/>
      <w:sz w:val="24"/>
      <w:u w:val="non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b/>
      <w:u w:val="single"/>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rFonts w:ascii="Times New Roman" w:hAnsi="Times New Roman" w:cs="Times New Roman"/>
      <w:b/>
      <w:i w:val="false"/>
      <w:sz w:val="24"/>
    </w:rPr>
  </w:style>
  <w:style w:type="character" w:styleId="WW8Num91z1">
    <w:name w:val="WW8Num91z1"/>
    <w:qFormat/>
    <w:rPr/>
  </w:style>
  <w:style w:type="character" w:styleId="WW8Num92z0">
    <w:name w:val="WW8Num92z0"/>
    <w:qFormat/>
    <w:rPr/>
  </w:style>
  <w:style w:type="character" w:styleId="WW8Num92z1">
    <w:name w:val="WW8Num92z1"/>
    <w:qFormat/>
    <w:rPr>
      <w:rFonts w:ascii="Times New Roman" w:hAnsi="Times New Roman" w:cs="Times New Roman"/>
      <w:b w:val="false"/>
      <w:i w:val="false"/>
      <w:sz w:val="24"/>
      <w:u w:val="none"/>
    </w:rPr>
  </w:style>
  <w:style w:type="character" w:styleId="WW8Num92z2">
    <w:name w:val="WW8Num92z2"/>
    <w:qFormat/>
    <w:rPr>
      <w:rFonts w:ascii="Times New Roman" w:hAnsi="Times New Roman" w:cs="Times New Roman"/>
      <w:b w:val="false"/>
      <w:i w:val="false"/>
      <w:sz w:val="24"/>
    </w:rPr>
  </w:style>
  <w:style w:type="character" w:styleId="WW8Num92z5">
    <w:name w:val="WW8Num92z5"/>
    <w:qFormat/>
    <w:rPr>
      <w:rFonts w:ascii="Times New Roman" w:hAnsi="Times New Roman" w:cs="Times New Roman"/>
      <w:b/>
      <w:i w:val="false"/>
      <w:sz w:val="24"/>
      <w:u w:val="none"/>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style>
  <w:style w:type="character" w:styleId="WW8Num108z0">
    <w:name w:val="WW8Num108z0"/>
    <w:qFormat/>
    <w:rPr>
      <w:b/>
      <w:u w:val="single"/>
    </w:rPr>
  </w:style>
  <w:style w:type="character" w:styleId="WW8Num109z0">
    <w:name w:val="WW8Num109z0"/>
    <w:qFormat/>
    <w:rPr/>
  </w:style>
  <w:style w:type="character" w:styleId="WW8Num110z0">
    <w:name w:val="WW8Num110z0"/>
    <w:qFormat/>
    <w:rPr>
      <w:b/>
    </w:rPr>
  </w:style>
  <w:style w:type="character" w:styleId="WW8Num111z0">
    <w:name w:val="WW8Num111z0"/>
    <w:qFormat/>
    <w:rPr/>
  </w:style>
  <w:style w:type="character" w:styleId="WW8Num112z0">
    <w:name w:val="WW8Num112z0"/>
    <w:qFormat/>
    <w:rPr>
      <w:rFonts w:ascii="Times New Roman Bold" w:hAnsi="Times New Roman Bold" w:cs="BauerBodoni-Bold"/>
      <w:b/>
      <w:i w:val="false"/>
      <w:sz w:val="24"/>
    </w:rPr>
  </w:style>
  <w:style w:type="character" w:styleId="WW8Num112z1">
    <w:name w:val="WW8Num112z1"/>
    <w:qFormat/>
    <w:rPr>
      <w:rFonts w:ascii="Times New Roman" w:hAnsi="Times New Roman" w:cs="Times New Roman"/>
      <w:b w:val="false"/>
      <w:i w:val="false"/>
      <w:sz w:val="24"/>
    </w:rPr>
  </w:style>
  <w:style w:type="character" w:styleId="WW8Num113z0">
    <w:name w:val="WW8Num1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qFormat/>
    <w:pPr>
      <w:numPr>
        <w:ilvl w:val="0"/>
        <w:numId w:val="9"/>
      </w:numPr>
      <w:tabs>
        <w:tab w:val="clear" w:pos="720"/>
      </w:tabs>
    </w:pPr>
    <w:rPr>
      <w:szCs w:val="20"/>
    </w:rPr>
  </w:style>
  <w:style w:type="paragraph" w:styleId="ListBullet3">
    <w:name w:val="List Bullet 3"/>
    <w:basedOn w:val="Normal"/>
    <w:qFormat/>
    <w:pPr>
      <w:numPr>
        <w:ilvl w:val="0"/>
        <w:numId w:val="8"/>
      </w:numPr>
      <w:tabs>
        <w:tab w:val="clear" w:pos="720"/>
      </w:tabs>
    </w:pPr>
    <w:rPr>
      <w:szCs w:val="20"/>
    </w:rPr>
  </w:style>
  <w:style w:type="paragraph" w:styleId="ListBullet4">
    <w:name w:val="List Bullet 4"/>
    <w:basedOn w:val="Normal"/>
    <w:qFormat/>
    <w:pPr>
      <w:numPr>
        <w:ilvl w:val="0"/>
        <w:numId w:val="7"/>
      </w:numPr>
      <w:tabs>
        <w:tab w:val="clear" w:pos="720"/>
      </w:tabs>
    </w:pPr>
    <w:rPr>
      <w:szCs w:val="20"/>
    </w:rPr>
  </w:style>
  <w:style w:type="paragraph" w:styleId="ListBullet5">
    <w:name w:val="List Bullet 5"/>
    <w:basedOn w:val="Normal"/>
    <w:qFormat/>
    <w:pPr>
      <w:numPr>
        <w:ilvl w:val="0"/>
        <w:numId w:val="6"/>
      </w:numPr>
      <w:tabs>
        <w:tab w:val="clear" w:pos="720"/>
      </w:tabs>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pPr>
    <w:rPr>
      <w:szCs w:val="20"/>
    </w:rPr>
  </w:style>
  <w:style w:type="paragraph" w:styleId="ListNumber3">
    <w:name w:val="List Number 3"/>
    <w:basedOn w:val="Normal"/>
    <w:qFormat/>
    <w:pPr>
      <w:numPr>
        <w:ilvl w:val="0"/>
        <w:numId w:val="4"/>
      </w:numPr>
      <w:tabs>
        <w:tab w:val="clear" w:pos="720"/>
      </w:tabs>
    </w:pPr>
    <w:rPr>
      <w:szCs w:val="20"/>
    </w:rPr>
  </w:style>
  <w:style w:type="paragraph" w:styleId="ListNumber4">
    <w:name w:val="List Number 4"/>
    <w:basedOn w:val="Normal"/>
    <w:qFormat/>
    <w:pPr>
      <w:numPr>
        <w:ilvl w:val="0"/>
        <w:numId w:val="3"/>
      </w:numPr>
      <w:tabs>
        <w:tab w:val="clear" w:pos="720"/>
      </w:tabs>
    </w:pPr>
    <w:rPr>
      <w:szCs w:val="20"/>
    </w:rPr>
  </w:style>
  <w:style w:type="paragraph" w:styleId="ListNumber5">
    <w:name w:val="List Number 5"/>
    <w:basedOn w:val="Normal"/>
    <w:qFormat/>
    <w:pPr>
      <w:numPr>
        <w:ilvl w:val="0"/>
        <w:numId w:val="2"/>
      </w:numPr>
      <w:tabs>
        <w:tab w:val="clear" w:pos="720"/>
      </w:tabs>
    </w:pPr>
    <w:rPr>
      <w:szCs w:val="20"/>
    </w:rPr>
  </w:style>
  <w:style w:type="paragraph" w:styleId="VENormal">
    <w:name w:val="VE Normal"/>
    <w:basedOn w:val="Normal"/>
    <w:qFormat/>
    <w:pPr>
      <w:jc w:val="both"/>
    </w:pPr>
    <w:rPr>
      <w:szCs w:val="20"/>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6"/>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6"/>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6"/>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6"/>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BodyTextIndent2">
    <w:name w:val="Body Text Indent 2"/>
    <w:basedOn w:val="Normal"/>
    <w:qFormat/>
    <w:pPr>
      <w:ind w:firstLine="720" w:start="0" w:end="0"/>
    </w:pPr>
    <w:rPr>
      <w:szCs w:val="20"/>
    </w:rPr>
  </w:style>
  <w:style w:type="paragraph" w:styleId="BodyText3">
    <w:name w:val="Body Text 3"/>
    <w:basedOn w:val="Normal"/>
    <w:qFormat/>
    <w:pPr>
      <w:spacing w:before="0" w:after="160"/>
    </w:pPr>
    <w:rPr>
      <w:sz w:val="16"/>
      <w:szCs w:val="20"/>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sz w:val="20"/>
      <w:szCs w:val="20"/>
    </w:rPr>
  </w:style>
  <w:style w:type="paragraph" w:styleId="BodyTextIndent3">
    <w:name w:val="Body Text Indent 3"/>
    <w:basedOn w:val="Normal"/>
    <w:qFormat/>
    <w:pPr>
      <w:spacing w:before="0" w:after="160"/>
      <w:ind w:hanging="0" w:start="720" w:end="0"/>
    </w:pPr>
    <w:rPr>
      <w:sz w:val="16"/>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2001-09-28T18:27:00Z</dcterms:created>
  <dc:creator>cstclai</dc:creator>
  <dc:description/>
  <dc:language>en-CA</dc:language>
  <cp:lastModifiedBy>cstclai</cp:lastModifiedBy>
  <dcterms:modified xsi:type="dcterms:W3CDTF">2001-09-28T18:50:00Z</dcterms:modified>
  <cp:revision>1</cp:revision>
  <dc:subject/>
  <dc:title>"Federal Funds Effective Rate" means, for the relevant determination date, the rate opposite the caption “Federal Funds (Effec</dc:title>
</cp:coreProperties>
</file>