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8640"/>
          <w:tab w:val="center" w:pos="4320" w:leader="none"/>
        </w:tabs>
        <w:ind w:end="-36"/>
        <w:jc w:val="center"/>
        <w:rPr/>
      </w:pPr>
      <w:r>
        <w:rPr>
          <w:b/>
          <w:smallCaps/>
          <w:sz w:val="22"/>
        </w:rPr>
        <w:t>C</w:t>
      </w:r>
      <w:r>
        <w:rPr>
          <w:b/>
          <w:caps/>
          <w:sz w:val="22"/>
        </w:rPr>
        <w:t>arlos A. Sol</w:t>
      </w:r>
      <w:r>
        <w:rPr>
          <w:b/>
          <w:smallCaps/>
          <w:sz w:val="22"/>
        </w:rPr>
        <w:t>É III</w:t>
      </w:r>
    </w:p>
    <w:p>
      <w:pPr>
        <w:pStyle w:val="Normal"/>
        <w:tabs>
          <w:tab w:val="left" w:pos="360" w:leader="none"/>
          <w:tab w:val="center" w:pos="720" w:leader="none"/>
        </w:tabs>
        <w:ind w:end="-43"/>
        <w:jc w:val="center"/>
        <w:rPr>
          <w:sz w:val="22"/>
        </w:rPr>
      </w:pPr>
      <w:r>
        <w:rPr>
          <w:sz w:val="22"/>
        </w:rPr>
        <w:t>2326 Dunstan</w:t>
      </w:r>
    </w:p>
    <w:p>
      <w:pPr>
        <w:pStyle w:val="Normal"/>
        <w:tabs>
          <w:tab w:val="left" w:pos="360" w:leader="none"/>
          <w:tab w:val="center" w:pos="720" w:leader="none"/>
        </w:tabs>
        <w:ind w:end="-43"/>
        <w:jc w:val="center"/>
        <w:rPr>
          <w:sz w:val="22"/>
        </w:rPr>
      </w:pPr>
      <w:r>
        <w:rPr>
          <w:sz w:val="22"/>
        </w:rPr>
        <w:t>Houston, Texas 77005</w:t>
      </w:r>
    </w:p>
    <w:p>
      <w:pPr>
        <w:pStyle w:val="Normal"/>
        <w:tabs>
          <w:tab w:val="left" w:pos="360" w:leader="none"/>
          <w:tab w:val="center" w:pos="720" w:leader="none"/>
        </w:tabs>
        <w:ind w:end="-43"/>
        <w:jc w:val="center"/>
        <w:rPr>
          <w:sz w:val="22"/>
        </w:rPr>
      </w:pPr>
      <w:r>
        <w:rPr>
          <w:sz w:val="22"/>
        </w:rPr>
        <w:t>(713) 646-6127 (Office)</w:t>
      </w:r>
    </w:p>
    <w:p>
      <w:pPr>
        <w:pStyle w:val="Normal"/>
        <w:spacing w:before="360" w:after="0"/>
        <w:ind w:end="-43"/>
        <w:rPr>
          <w:b/>
          <w:sz w:val="22"/>
        </w:rPr>
      </w:pPr>
      <w:r>
        <w:rPr>
          <w:b/>
          <w:smallCaps/>
          <w:sz w:val="22"/>
        </w:rPr>
        <w:t>Experience:</w:t>
      </w:r>
    </w:p>
    <w:p>
      <w:pPr>
        <w:pStyle w:val="Normal"/>
        <w:tabs>
          <w:tab w:val="left" w:pos="360" w:leader="none"/>
          <w:tab w:val="center" w:pos="720" w:leader="none"/>
        </w:tabs>
        <w:spacing w:before="360" w:after="0"/>
        <w:ind w:end="-43"/>
        <w:rPr>
          <w:sz w:val="22"/>
        </w:rPr>
      </w:pPr>
      <w:r>
        <w:rPr>
          <w:b/>
          <w:sz w:val="22"/>
        </w:rPr>
        <w:t xml:space="preserve">Enron Engineering &amp; Construction Company.  </w:t>
      </w:r>
      <w:r>
        <w:rPr>
          <w:i/>
          <w:sz w:val="22"/>
        </w:rPr>
        <w:t xml:space="preserve">Houston, Texas </w:t>
      </w:r>
      <w:r>
        <w:rPr>
          <w:sz w:val="22"/>
        </w:rPr>
        <w:t xml:space="preserve">                                    </w:t>
      </w:r>
      <w:r>
        <w:rPr>
          <w:i/>
          <w:sz w:val="22"/>
        </w:rPr>
        <w:t>October 1999 - Present</w:t>
      </w:r>
    </w:p>
    <w:p>
      <w:pPr>
        <w:pStyle w:val="Normal"/>
        <w:tabs>
          <w:tab w:val="left" w:pos="360" w:leader="none"/>
          <w:tab w:val="center" w:pos="720" w:leader="none"/>
        </w:tabs>
        <w:spacing w:before="240" w:after="0"/>
        <w:ind w:end="-36"/>
        <w:jc w:val="both"/>
        <w:rPr>
          <w:b/>
          <w:sz w:val="22"/>
        </w:rPr>
      </w:pPr>
      <w:r>
        <w:rPr>
          <w:i/>
          <w:sz w:val="22"/>
        </w:rPr>
        <w:t xml:space="preserve">Senior Counsel.  </w:t>
      </w:r>
      <w:r>
        <w:rPr>
          <w:sz w:val="22"/>
        </w:rPr>
        <w:t xml:space="preserve">Focus primarily on international and domestic transactions related to the energy and construction industries.  Draft, review and negotiate consortium and joint venture agreements for the joint construction of energy infrastructure projects, and prepare, review and negotiate the engineering, procurement and construction contracts and subcontracts for such projects.  Prepare, review and negotiate domestic and cross-border financing agreements, including credit facility, mortgage and guaranty agreements, with joint venture and other strategic partners.  Coordinated legal due diligence, preparation and negotiation of transactional documents, including purchase agreements, employment agreements for key personnel, shareholders agreements and term sheets, for proposed acquisitions of and strategic investments in international and domestic engineering, procurement and construction companies.    </w:t>
      </w:r>
    </w:p>
    <w:p>
      <w:pPr>
        <w:pStyle w:val="Normal"/>
        <w:tabs>
          <w:tab w:val="left" w:pos="360" w:leader="none"/>
          <w:tab w:val="center" w:pos="720" w:leader="none"/>
        </w:tabs>
        <w:spacing w:before="360" w:after="0"/>
        <w:ind w:end="-43"/>
        <w:rPr>
          <w:sz w:val="22"/>
        </w:rPr>
      </w:pPr>
      <w:r>
        <w:rPr>
          <w:b/>
          <w:sz w:val="22"/>
        </w:rPr>
        <w:t xml:space="preserve">Curtis, Mallet-Prevost, Colt &amp; Mosle, L.L.P.  </w:t>
      </w:r>
      <w:r>
        <w:rPr>
          <w:i/>
          <w:sz w:val="22"/>
        </w:rPr>
        <w:t xml:space="preserve">Houston, Texas </w:t>
      </w:r>
      <w:r>
        <w:rPr>
          <w:sz w:val="22"/>
        </w:rPr>
        <w:t xml:space="preserve">                          </w:t>
      </w:r>
      <w:r>
        <w:rPr>
          <w:i/>
          <w:sz w:val="22"/>
        </w:rPr>
        <w:t>September 1998 - October 1999</w:t>
      </w:r>
    </w:p>
    <w:p>
      <w:pPr>
        <w:pStyle w:val="Normal"/>
        <w:tabs>
          <w:tab w:val="left" w:pos="360" w:leader="none"/>
          <w:tab w:val="center" w:pos="720" w:leader="none"/>
        </w:tabs>
        <w:spacing w:before="120" w:after="0"/>
        <w:ind w:end="-43"/>
        <w:jc w:val="both"/>
        <w:rPr/>
      </w:pPr>
      <w:r>
        <w:rPr>
          <w:i/>
          <w:sz w:val="22"/>
        </w:rPr>
        <w:t xml:space="preserve">Associate.  </w:t>
      </w:r>
      <w:r>
        <w:rPr>
          <w:sz w:val="22"/>
        </w:rPr>
        <w:t xml:space="preserve">Concentrated on international transactions primarily in the petroleum and electric power industries. Drafted and negotiated long and short term crude oil petroleum purchase and sale agreements on behalf of the U.S. subsidiary of a Latin American state-owned energy company.  Prepared public bidding materials in English and Spanish on behalf of a Mexican government agency for independent power producer and financed public works transactions for electric power plants, substations and transmission lines, including the drafting of power purchase, natural gas fuel supply, engineering, procurement and construction, and guaranty agreements.   </w:t>
      </w:r>
    </w:p>
    <w:p>
      <w:pPr>
        <w:pStyle w:val="Normal"/>
        <w:spacing w:before="360" w:after="0"/>
        <w:ind w:end="-43"/>
        <w:rPr/>
      </w:pPr>
      <w:r>
        <w:rPr>
          <w:b/>
          <w:sz w:val="22"/>
        </w:rPr>
        <w:t xml:space="preserve">Patton Boggs, L.L.P.  </w:t>
      </w:r>
      <w:r>
        <w:rPr>
          <w:i/>
          <w:sz w:val="22"/>
        </w:rPr>
        <w:t>Washington, D. C.                                                                September 1994 - August 1998</w:t>
      </w:r>
    </w:p>
    <w:p>
      <w:pPr>
        <w:pStyle w:val="Normal"/>
        <w:tabs>
          <w:tab w:val="clear" w:pos="720"/>
          <w:tab w:val="left" w:pos="360" w:leader="none"/>
        </w:tabs>
        <w:spacing w:before="120" w:after="0"/>
        <w:ind w:end="-43"/>
        <w:jc w:val="both"/>
        <w:rPr/>
      </w:pPr>
      <w:r>
        <w:rPr>
          <w:i/>
          <w:sz w:val="22"/>
        </w:rPr>
        <w:t>Associate.</w:t>
      </w:r>
      <w:r>
        <w:rPr>
          <w:sz w:val="22"/>
        </w:rPr>
        <w:t xml:space="preserve">   Focused on domestic transactional practice, including the establishment of new business entities, mergers and acquisitions, and debt and equity securities offerings.  Prepared agreements related to the formation and operation of independent business and joint venture entities including operating agreements for limited liability companies, partnership agreements, and shareholders agreements for corporations.  Analyzed and researched issues involved in asset and stock purchase transactions, including: due diligence analysis and drafting of asset and stock purchase agreements, employment agreements for key personnel, opinion letters and term sheets.   Coordinated and developed materials for securities offerings including: due diligence analysis and drafting of offering materials, indenture, purchase, trust, subscription and underwriting agreements.       </w:t>
      </w:r>
    </w:p>
    <w:p>
      <w:pPr>
        <w:pStyle w:val="Normal"/>
        <w:spacing w:before="360" w:after="0"/>
        <w:ind w:end="-43"/>
        <w:rPr>
          <w:b/>
          <w:smallCaps/>
          <w:sz w:val="22"/>
        </w:rPr>
      </w:pPr>
      <w:r>
        <w:rPr>
          <w:b/>
          <w:smallCaps/>
          <w:sz w:val="22"/>
        </w:rPr>
        <w:t>Education:</w:t>
      </w:r>
    </w:p>
    <w:p>
      <w:pPr>
        <w:pStyle w:val="Normal"/>
        <w:spacing w:before="120" w:after="0"/>
        <w:ind w:end="-43"/>
        <w:rPr>
          <w:b/>
          <w:i/>
          <w:i/>
          <w:sz w:val="22"/>
        </w:rPr>
      </w:pPr>
      <w:r>
        <w:rPr>
          <w:b/>
          <w:sz w:val="22"/>
        </w:rPr>
        <w:t xml:space="preserve">The University of Texas at Austin:  </w:t>
      </w:r>
      <w:r>
        <w:rPr>
          <w:i/>
          <w:sz w:val="22"/>
        </w:rPr>
        <w:t>Joint Degrees in Law and Public Affairs                                       May 1994</w:t>
      </w:r>
    </w:p>
    <w:p>
      <w:pPr>
        <w:pStyle w:val="Normal"/>
        <w:tabs>
          <w:tab w:val="left" w:pos="360" w:leader="none"/>
          <w:tab w:val="center" w:pos="720" w:leader="none"/>
        </w:tabs>
        <w:spacing w:before="120" w:after="0"/>
        <w:ind w:firstLine="720" w:end="-43"/>
        <w:rPr>
          <w:sz w:val="22"/>
        </w:rPr>
      </w:pPr>
      <w:r>
        <w:rPr>
          <w:b/>
          <w:sz w:val="22"/>
        </w:rPr>
        <w:t>School of Law:</w:t>
      </w:r>
      <w:r>
        <w:rPr>
          <w:sz w:val="22"/>
        </w:rPr>
        <w:t xml:space="preserve"> </w:t>
      </w:r>
      <w:r>
        <w:rPr>
          <w:i/>
          <w:sz w:val="22"/>
        </w:rPr>
        <w:t>Doctor of Jurisprudence</w:t>
      </w:r>
    </w:p>
    <w:p>
      <w:pPr>
        <w:pStyle w:val="Normal"/>
        <w:tabs>
          <w:tab w:val="left" w:pos="360" w:leader="none"/>
          <w:tab w:val="left" w:pos="720" w:leader="none"/>
        </w:tabs>
        <w:ind w:firstLine="720" w:end="-43"/>
        <w:rPr/>
      </w:pPr>
      <w:r>
        <w:rPr>
          <w:i/>
          <w:sz w:val="22"/>
        </w:rPr>
        <w:t>Texas International Law Journal</w:t>
      </w:r>
      <w:r>
        <w:rPr>
          <w:sz w:val="22"/>
        </w:rPr>
        <w:t>, Staff 1992-94</w:t>
      </w:r>
    </w:p>
    <w:p>
      <w:pPr>
        <w:pStyle w:val="Normal"/>
        <w:tabs>
          <w:tab w:val="left" w:pos="360" w:leader="none"/>
          <w:tab w:val="center" w:pos="720" w:leader="none"/>
        </w:tabs>
        <w:spacing w:before="120" w:after="0"/>
        <w:ind w:firstLine="720" w:end="-43"/>
        <w:rPr>
          <w:sz w:val="22"/>
        </w:rPr>
      </w:pPr>
      <w:r>
        <w:rPr>
          <w:b/>
          <w:sz w:val="22"/>
        </w:rPr>
        <w:t>Lyndon B. Johnson School of Public Affairs:</w:t>
      </w:r>
      <w:r>
        <w:rPr>
          <w:sz w:val="22"/>
        </w:rPr>
        <w:t xml:space="preserve">  </w:t>
      </w:r>
      <w:r>
        <w:rPr>
          <w:i/>
          <w:sz w:val="22"/>
        </w:rPr>
        <w:t>Master of Public Affairs</w:t>
      </w:r>
    </w:p>
    <w:p>
      <w:pPr>
        <w:pStyle w:val="Normal"/>
        <w:spacing w:before="240" w:after="0"/>
        <w:ind w:end="-36"/>
        <w:rPr>
          <w:b/>
          <w:i/>
          <w:i/>
          <w:sz w:val="22"/>
        </w:rPr>
      </w:pPr>
      <w:r>
        <w:rPr>
          <w:b/>
          <w:sz w:val="22"/>
        </w:rPr>
        <w:t xml:space="preserve">Georgetown University:  </w:t>
      </w:r>
      <w:r>
        <w:rPr>
          <w:i/>
          <w:sz w:val="22"/>
        </w:rPr>
        <w:t>Bachelor of Science in Foreign Service                                                           May 1990</w:t>
      </w:r>
    </w:p>
    <w:p>
      <w:pPr>
        <w:pStyle w:val="Normal"/>
        <w:tabs>
          <w:tab w:val="left" w:pos="360" w:leader="none"/>
          <w:tab w:val="center" w:pos="720" w:leader="none"/>
        </w:tabs>
        <w:spacing w:before="360" w:after="0"/>
        <w:ind w:end="-43"/>
        <w:rPr/>
      </w:pPr>
      <w:r>
        <w:rPr>
          <w:b/>
          <w:smallCaps/>
          <w:sz w:val="22"/>
        </w:rPr>
        <w:t xml:space="preserve">Languages: </w:t>
      </w:r>
      <w:r>
        <w:rPr>
          <w:smallCaps/>
          <w:sz w:val="22"/>
        </w:rPr>
        <w:t xml:space="preserve"> </w:t>
      </w:r>
      <w:r>
        <w:rPr>
          <w:sz w:val="22"/>
        </w:rPr>
        <w:t>Oral and written fluency in Spanish</w:t>
      </w:r>
    </w:p>
    <w:p>
      <w:pPr>
        <w:pStyle w:val="Normal"/>
        <w:spacing w:before="360" w:after="0"/>
        <w:ind w:end="-43"/>
        <w:rPr/>
      </w:pPr>
      <w:r>
        <w:rPr>
          <w:b/>
          <w:smallCaps/>
          <w:sz w:val="22"/>
        </w:rPr>
        <w:t>Bar Admissions:</w:t>
      </w:r>
      <w:r>
        <w:rPr>
          <w:b/>
          <w:sz w:val="22"/>
        </w:rPr>
        <w:t xml:space="preserve">  </w:t>
      </w:r>
      <w:r>
        <w:rPr>
          <w:sz w:val="22"/>
        </w:rPr>
        <w:t>Texas, 1994 and District of Columbia, 1995</w:t>
      </w:r>
    </w:p>
    <w:sectPr>
      <w:footerReference w:type="default" r:id="rId2"/>
      <w:type w:val="nextPage"/>
      <w:pgSz w:w="12240" w:h="15840"/>
      <w:pgMar w:left="1152" w:right="1152"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rPr>
        <w:smallCaps w:val="false"/>
        <w:caps w:val="false"/>
        <w:i w:val="false"/>
        <w:u w:val="none"/>
        <w:b/>
      </w:rPr>
    </w:lvl>
    <w:lvl w:ilvl="1">
      <w:start w:val="1"/>
      <w:numFmt w:val="none"/>
      <w:suff w:val="nothing"/>
      <w:lvlText w:val=""/>
      <w:lvlJc w:val="start"/>
      <w:pPr>
        <w:tabs>
          <w:tab w:val="num" w:pos="0"/>
        </w:tabs>
        <w:ind w:start="0" w:hanging="0"/>
      </w:pPr>
      <w:rPr>
        <w:smallCaps w:val="false"/>
        <w:caps w:val="false"/>
        <w:i w:val="false"/>
        <w:u w:val="none"/>
        <w:b w:val="false"/>
      </w:rPr>
    </w:lvl>
    <w:lvl w:ilvl="2">
      <w:start w:val="1"/>
      <w:numFmt w:val="none"/>
      <w:suff w:val="nothing"/>
      <w:lvlText w:val=""/>
      <w:lvlJc w:val="start"/>
      <w:pPr>
        <w:tabs>
          <w:tab w:val="num" w:pos="0"/>
        </w:tabs>
        <w:ind w:start="0" w:hanging="0"/>
      </w:pPr>
      <w:rPr>
        <w:smallCaps w:val="false"/>
        <w:caps w:val="false"/>
        <w:i w:val="false"/>
        <w:u w:val="none"/>
        <w:b w:val="false"/>
      </w:rPr>
    </w:lvl>
    <w:lvl w:ilvl="3">
      <w:start w:val="1"/>
      <w:numFmt w:val="none"/>
      <w:suff w:val="nothing"/>
      <w:lvlText w:val=""/>
      <w:lvlJc w:val="start"/>
      <w:pPr>
        <w:tabs>
          <w:tab w:val="num" w:pos="0"/>
        </w:tabs>
        <w:ind w:start="0" w:hanging="0"/>
      </w:pPr>
      <w:rPr>
        <w:smallCaps w:val="false"/>
        <w:caps w:val="false"/>
        <w:i w:val="false"/>
        <w:u w:val="none"/>
        <w:b w:val="false"/>
      </w:rPr>
    </w:lvl>
    <w:lvl w:ilvl="4">
      <w:start w:val="1"/>
      <w:numFmt w:val="none"/>
      <w:suff w:val="nothing"/>
      <w:lvlText w:val=""/>
      <w:lvlJc w:val="start"/>
      <w:pPr>
        <w:tabs>
          <w:tab w:val="num" w:pos="0"/>
        </w:tabs>
        <w:ind w:start="0" w:hanging="0"/>
      </w:pPr>
      <w:rPr>
        <w:smallCaps w:val="false"/>
        <w:caps w:val="false"/>
        <w:i w:val="false"/>
        <w:u w:val="none"/>
        <w:b w:val="false"/>
      </w:rPr>
    </w:lvl>
    <w:lvl w:ilvl="5">
      <w:start w:val="1"/>
      <w:numFmt w:val="none"/>
      <w:suff w:val="nothing"/>
      <w:lvlText w:val=""/>
      <w:lvlJc w:val="start"/>
      <w:pPr>
        <w:tabs>
          <w:tab w:val="num" w:pos="0"/>
        </w:tabs>
        <w:ind w:start="0" w:hanging="0"/>
      </w:pPr>
      <w:rPr>
        <w:smallCaps w:val="false"/>
        <w:caps w:val="false"/>
        <w:i w:val="false"/>
        <w:u w:val="none"/>
        <w:b w:val="false"/>
      </w:rPr>
    </w:lvl>
    <w:lvl w:ilvl="6">
      <w:start w:val="1"/>
      <w:numFmt w:val="none"/>
      <w:suff w:val="nothing"/>
      <w:lvlText w:val=""/>
      <w:lvlJc w:val="start"/>
      <w:pPr>
        <w:tabs>
          <w:tab w:val="num" w:pos="0"/>
        </w:tabs>
        <w:ind w:start="0" w:hanging="0"/>
      </w:pPr>
      <w:rPr>
        <w:smallCaps w:val="false"/>
        <w:caps w:val="false"/>
        <w:i w:val="false"/>
        <w:u w:val="none"/>
        <w:b w:val="false"/>
      </w:rPr>
    </w:lvl>
    <w:lvl w:ilvl="7">
      <w:start w:val="1"/>
      <w:numFmt w:val="none"/>
      <w:suff w:val="nothing"/>
      <w:lvlText w:val=""/>
      <w:lvlJc w:val="start"/>
      <w:pPr>
        <w:tabs>
          <w:tab w:val="num" w:pos="0"/>
        </w:tabs>
        <w:ind w:start="0" w:hanging="0"/>
      </w:pPr>
      <w:rPr>
        <w:smallCaps w:val="false"/>
        <w:caps w:val="false"/>
        <w:i w:val="false"/>
        <w:u w:val="none"/>
        <w:b w:val="false"/>
      </w:rPr>
    </w:lvl>
    <w:lvl w:ilvl="8">
      <w:start w:val="1"/>
      <w:numFmt w:val="none"/>
      <w:suff w:val="nothing"/>
      <w:lvlText w:val=""/>
      <w:lvlJc w:val="start"/>
      <w:pPr>
        <w:tabs>
          <w:tab w:val="num" w:pos="0"/>
        </w:tabs>
        <w:ind w:start="0" w:hanging="0"/>
      </w:pPr>
      <w:rPr>
        <w:smallCaps w:val="false"/>
        <w:caps w:val="false"/>
        <w:i w:val="false"/>
        <w:u w:val="none"/>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paraBody"/>
    <w:qFormat/>
    <w:pPr>
      <w:keepNext w:val="true"/>
      <w:numPr>
        <w:ilvl w:val="0"/>
        <w:numId w:val="2"/>
      </w:numPr>
      <w:spacing w:before="240" w:after="0"/>
      <w:jc w:val="center"/>
      <w:outlineLvl w:val="0"/>
    </w:pPr>
    <w:rPr>
      <w:b/>
    </w:rPr>
  </w:style>
  <w:style w:type="paragraph" w:styleId="Heading2">
    <w:name w:val="heading 2"/>
    <w:basedOn w:val="Normal"/>
    <w:next w:val="paraBody"/>
    <w:qFormat/>
    <w:pPr>
      <w:numPr>
        <w:ilvl w:val="0"/>
        <w:numId w:val="2"/>
      </w:numPr>
      <w:spacing w:before="240" w:after="0"/>
      <w:outlineLvl w:val="1"/>
    </w:pPr>
    <w:rPr>
      <w:b/>
    </w:rPr>
  </w:style>
  <w:style w:type="paragraph" w:styleId="Heading3">
    <w:name w:val="heading 3"/>
    <w:basedOn w:val="Normal"/>
    <w:next w:val="paraBody"/>
    <w:qFormat/>
    <w:pPr>
      <w:numPr>
        <w:ilvl w:val="0"/>
        <w:numId w:val="2"/>
      </w:numPr>
      <w:spacing w:before="240" w:after="0"/>
      <w:outlineLvl w:val="2"/>
    </w:pPr>
    <w:rPr>
      <w:i/>
    </w:rPr>
  </w:style>
  <w:style w:type="paragraph" w:styleId="Heading4">
    <w:name w:val="heading 4"/>
    <w:basedOn w:val="Normal"/>
    <w:next w:val="BodyText"/>
    <w:qFormat/>
    <w:pPr>
      <w:numPr>
        <w:ilvl w:val="0"/>
        <w:numId w:val="2"/>
      </w:numPr>
      <w:spacing w:before="240" w:after="0"/>
      <w:outlineLvl w:val="3"/>
    </w:pPr>
    <w:rPr/>
  </w:style>
  <w:style w:type="paragraph" w:styleId="Heading5">
    <w:name w:val="heading 5"/>
    <w:basedOn w:val="Normal"/>
    <w:next w:val="BodyText"/>
    <w:qFormat/>
    <w:pPr>
      <w:numPr>
        <w:ilvl w:val="0"/>
        <w:numId w:val="2"/>
      </w:numPr>
      <w:spacing w:before="240" w:after="0"/>
      <w:outlineLvl w:val="4"/>
    </w:pPr>
    <w:rPr/>
  </w:style>
  <w:style w:type="paragraph" w:styleId="Heading6">
    <w:name w:val="heading 6"/>
    <w:basedOn w:val="Normal"/>
    <w:next w:val="BodyText"/>
    <w:qFormat/>
    <w:pPr>
      <w:numPr>
        <w:ilvl w:val="0"/>
        <w:numId w:val="2"/>
      </w:numPr>
      <w:spacing w:before="240" w:after="0"/>
      <w:outlineLvl w:val="5"/>
    </w:pPr>
    <w:rPr/>
  </w:style>
  <w:style w:type="paragraph" w:styleId="Heading7">
    <w:name w:val="heading 7"/>
    <w:basedOn w:val="Normal"/>
    <w:next w:val="BodyText"/>
    <w:qFormat/>
    <w:pPr>
      <w:numPr>
        <w:ilvl w:val="0"/>
        <w:numId w:val="2"/>
      </w:numPr>
      <w:spacing w:before="240" w:after="0"/>
      <w:outlineLvl w:val="6"/>
    </w:pPr>
    <w:rPr/>
  </w:style>
  <w:style w:type="paragraph" w:styleId="Heading8">
    <w:name w:val="heading 8"/>
    <w:basedOn w:val="Normal"/>
    <w:next w:val="BodyText"/>
    <w:qFormat/>
    <w:pPr>
      <w:numPr>
        <w:ilvl w:val="0"/>
        <w:numId w:val="2"/>
      </w:numPr>
      <w:spacing w:before="240" w:after="0"/>
      <w:outlineLvl w:val="7"/>
    </w:pPr>
    <w:rPr/>
  </w:style>
  <w:style w:type="paragraph" w:styleId="Heading9">
    <w:name w:val="heading 9"/>
    <w:basedOn w:val="Normal"/>
    <w:next w:val="BodyText"/>
    <w:qFormat/>
    <w:pPr>
      <w:numPr>
        <w:ilvl w:val="0"/>
        <w:numId w:val="2"/>
      </w:numPr>
      <w:spacing w:before="240" w:after="0"/>
      <w:outlineLvl w:val="8"/>
    </w:pPr>
    <w:rPr/>
  </w:style>
  <w:style w:type="character" w:styleId="WW8Num1z0">
    <w:name w:val="WW8Num1z0"/>
    <w:qFormat/>
    <w:rPr>
      <w:rFonts w:ascii="Times New Roman" w:hAnsi="Times New Roman" w:cs="Times New Roman"/>
    </w:rPr>
  </w:style>
  <w:style w:type="character" w:styleId="WW8Num2z0">
    <w:name w:val="WW8Num2z0"/>
    <w:qFormat/>
    <w:rPr>
      <w:b/>
      <w:i w:val="false"/>
      <w:caps w:val="false"/>
      <w:smallCaps w:val="false"/>
      <w:u w:val="none"/>
    </w:rPr>
  </w:style>
  <w:style w:type="character" w:styleId="WW8Num2z1">
    <w:name w:val="WW8Num2z1"/>
    <w:qFormat/>
    <w:rPr>
      <w:b w:val="false"/>
      <w:i w:val="false"/>
      <w:caps w:val="false"/>
      <w:smallCaps w:val="false"/>
      <w:u w:val="none"/>
    </w:rPr>
  </w:style>
  <w:style w:type="character" w:styleId="WW8Num3z0">
    <w:name w:val="WW8Num3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Heading2-NOTinTOC">
    <w:name w:val="Heading 2 - NOT in TOC"/>
    <w:basedOn w:val="Heading2"/>
    <w:next w:val="Heading2"/>
    <w:qFormat/>
    <w:pPr>
      <w:numPr>
        <w:ilvl w:val="0"/>
        <w:numId w:val="2"/>
      </w:numPr>
      <w:outlineLvl w:val="9"/>
    </w:pPr>
    <w:rPr/>
  </w:style>
  <w:style w:type="paragraph" w:styleId="Heading2Special">
    <w:name w:val="Heading 2 Special"/>
    <w:basedOn w:val="Heading2"/>
    <w:next w:val="Heading2"/>
    <w:qFormat/>
    <w:pPr>
      <w:numPr>
        <w:ilvl w:val="0"/>
        <w:numId w:val="2"/>
      </w:numPr>
    </w:pPr>
    <w:rPr/>
  </w:style>
  <w:style w:type="paragraph" w:styleId="Heading3-NOTinTOC">
    <w:name w:val="Heading 3 - NOT in TOC"/>
    <w:basedOn w:val="Heading3"/>
    <w:next w:val="Heading3"/>
    <w:qFormat/>
    <w:pPr>
      <w:numPr>
        <w:ilvl w:val="0"/>
        <w:numId w:val="2"/>
      </w:numPr>
      <w:outlineLvl w:val="9"/>
    </w:pPr>
    <w:rPr/>
  </w:style>
  <w:style w:type="paragraph" w:styleId="Heading3Special">
    <w:name w:val="Heading 3 Special"/>
    <w:basedOn w:val="Heading3"/>
    <w:next w:val="Heading3"/>
    <w:qFormat/>
    <w:pPr>
      <w:numPr>
        <w:ilvl w:val="0"/>
        <w:numId w:val="2"/>
      </w:numPr>
    </w:pPr>
    <w:rPr/>
  </w:style>
  <w:style w:type="paragraph" w:styleId="Definitions">
    <w:name w:val="Definitions"/>
    <w:basedOn w:val="Normal"/>
    <w:qFormat/>
    <w:pPr>
      <w:spacing w:before="240" w:after="0"/>
      <w:ind w:firstLine="1440" w:start="0" w:end="0"/>
    </w:pPr>
    <w:rPr/>
  </w:style>
  <w:style w:type="paragraph" w:styleId="DefinitionsinTOC">
    <w:name w:val="Definitions in TOC"/>
    <w:basedOn w:val="Normal"/>
    <w:qFormat/>
    <w:pPr>
      <w:spacing w:before="240" w:after="0"/>
      <w:ind w:firstLine="1440" w:start="0" w:end="0"/>
      <w:outlineLvl w:val="1"/>
    </w:pPr>
    <w:rPr/>
  </w:style>
  <w:style w:type="paragraph" w:styleId="paraBlocknoital">
    <w:name w:val="para: Block no ital"/>
    <w:basedOn w:val="Normal"/>
    <w:next w:val="Normal"/>
    <w:qFormat/>
    <w:pPr>
      <w:spacing w:before="240" w:after="0"/>
      <w:ind w:hanging="0" w:start="1440" w:end="1440"/>
      <w:jc w:val="both"/>
    </w:pPr>
    <w:rPr/>
  </w:style>
  <w:style w:type="paragraph" w:styleId="ParaBlockwital">
    <w:name w:val="Para: Block w/ital"/>
    <w:basedOn w:val="Normal"/>
    <w:next w:val="Normal"/>
    <w:qFormat/>
    <w:pPr>
      <w:spacing w:before="240" w:after="0"/>
      <w:ind w:hanging="0" w:start="1440" w:end="1440"/>
      <w:jc w:val="both"/>
    </w:pPr>
    <w:rPr>
      <w:i/>
    </w:rPr>
  </w:style>
  <w:style w:type="paragraph" w:styleId="para1stln5dbl">
    <w:name w:val="para: 1st ln .5 dbl"/>
    <w:basedOn w:val="Normal"/>
    <w:qFormat/>
    <w:pPr>
      <w:spacing w:lineRule="auto" w:line="480"/>
      <w:ind w:firstLine="720" w:start="0" w:end="0"/>
    </w:pPr>
    <w:rPr/>
  </w:style>
  <w:style w:type="paragraph" w:styleId="para1stLn5sngl">
    <w:name w:val="para: 1st Ln .5 sngl"/>
    <w:basedOn w:val="Normal"/>
    <w:qFormat/>
    <w:pPr>
      <w:spacing w:before="240" w:after="0"/>
      <w:ind w:firstLine="720" w:start="0" w:end="0"/>
    </w:pPr>
    <w:rPr/>
  </w:style>
  <w:style w:type="paragraph" w:styleId="para1stln1dbl">
    <w:name w:val="para: 1st ln 1&quot; dbl"/>
    <w:basedOn w:val="Normal"/>
    <w:qFormat/>
    <w:pPr>
      <w:spacing w:lineRule="auto" w:line="480"/>
      <w:ind w:firstLine="1440" w:start="0" w:end="0"/>
    </w:pPr>
    <w:rPr/>
  </w:style>
  <w:style w:type="paragraph" w:styleId="para1stln1sngl">
    <w:name w:val="para: 1st ln 1&quot; sngl"/>
    <w:basedOn w:val="Normal"/>
    <w:qFormat/>
    <w:pPr>
      <w:spacing w:before="240" w:after="0"/>
      <w:ind w:firstLine="1440" w:start="0" w:end="0"/>
    </w:pPr>
    <w:rPr/>
  </w:style>
  <w:style w:type="paragraph" w:styleId="paraBody">
    <w:name w:val="para: Body"/>
    <w:basedOn w:val="Normal"/>
    <w:qFormat/>
    <w:pPr>
      <w:spacing w:before="240" w:after="0"/>
    </w:pPr>
    <w:rPr/>
  </w:style>
  <w:style w:type="paragraph" w:styleId="paraLftindnt5">
    <w:name w:val="para: Lft indnt .5"/>
    <w:basedOn w:val="Normal"/>
    <w:qFormat/>
    <w:pPr>
      <w:spacing w:before="240" w:after="0"/>
      <w:ind w:hanging="0" w:start="720" w:end="0"/>
    </w:pPr>
    <w:rPr/>
  </w:style>
  <w:style w:type="paragraph" w:styleId="paraLftindnt1">
    <w:name w:val="para: Lft indnt 1&quot;"/>
    <w:basedOn w:val="Normal"/>
    <w:qFormat/>
    <w:pPr>
      <w:spacing w:before="240" w:after="0"/>
      <w:ind w:hanging="0" w:start="1440" w:end="0"/>
    </w:pPr>
    <w:rPr/>
  </w:style>
  <w:style w:type="paragraph" w:styleId="TITLE">
    <w:name w:val="TITLE"/>
    <w:basedOn w:val="Normal"/>
    <w:next w:val="para1stln1sngl"/>
    <w:qFormat/>
    <w:pPr>
      <w:keepNext w:val="true"/>
      <w:spacing w:before="0" w:after="240"/>
      <w:jc w:val="center"/>
    </w:pPr>
    <w:rPr>
      <w:b/>
    </w:rPr>
  </w:style>
  <w:style w:type="paragraph" w:styleId="TITLE1">
    <w:name w:val="TITLE 1"/>
    <w:basedOn w:val="Normal"/>
    <w:next w:val="Normal"/>
    <w:qFormat/>
    <w:pPr>
      <w:keepNext w:val="true"/>
      <w:spacing w:before="240" w:after="0"/>
      <w:jc w:val="center"/>
    </w:pPr>
    <w:rPr/>
  </w:style>
  <w:style w:type="paragraph" w:styleId="TITLE2">
    <w:name w:val="TITLE 2"/>
    <w:basedOn w:val="Normal"/>
    <w:next w:val="Normal"/>
    <w:qFormat/>
    <w:pPr>
      <w:spacing w:before="240" w:after="0"/>
    </w:pPr>
    <w:rPr>
      <w:b/>
      <w:i/>
    </w:rPr>
  </w:style>
  <w:style w:type="paragraph" w:styleId="TITLE3">
    <w:name w:val="TITLE 3"/>
    <w:basedOn w:val="Normal"/>
    <w:next w:val="Normal"/>
    <w:qFormat/>
    <w:pPr>
      <w:spacing w:before="240" w:after="0"/>
      <w:ind w:hanging="0" w:start="1440" w:end="0"/>
    </w:pPr>
    <w:rPr>
      <w:b/>
      <w:i/>
    </w:rPr>
  </w:style>
  <w:style w:type="paragraph" w:styleId="TITLE4">
    <w:name w:val="TITLE 4"/>
    <w:basedOn w:val="Normal"/>
    <w:next w:val="Normal"/>
    <w:qFormat/>
    <w:pPr>
      <w:spacing w:before="240" w:after="0"/>
      <w:ind w:hanging="0" w:start="2160" w:end="0"/>
    </w:pPr>
    <w:rPr/>
  </w:style>
  <w:style w:type="paragraph" w:styleId="TOC1">
    <w:name w:val="toc 1"/>
    <w:basedOn w:val="Normal"/>
    <w:next w:val="Normal"/>
    <w:pPr>
      <w:spacing w:before="120" w:after="120"/>
    </w:pPr>
    <w:rPr>
      <w:b/>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2000-11-09T14:50:00Z</dcterms:created>
  <dc:creator>Carlos A. Sole III</dc:creator>
  <dc:description>csole@cm-p.com</dc:description>
  <cp:keywords>2461</cp:keywords>
  <dc:language>en-CA</dc:language>
  <cp:lastModifiedBy>csole</cp:lastModifiedBy>
  <cp:lastPrinted>2000-11-09T11:43:00Z</cp:lastPrinted>
  <dcterms:modified xsi:type="dcterms:W3CDTF">2000-11-09T15:19:00Z</dcterms:modified>
  <cp:revision>7</cp:revision>
  <dc:subject>999999-000094</dc:subject>
  <dc:title>NY 258142.1</dc:title>
</cp:coreProperties>
</file>