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5.bin" ContentType="application/vnd.openxmlformats-officedocument.oleObject"/>
  <Override PartName="/word/embeddings/oleObject3.xlsx" ContentType="application/vnd.openxmlformats-officedocument.spreadsheetml.sheet"/>
  <Override PartName="/word/embeddings/oleObject4.bin" ContentType="application/vnd.openxmlformats-officedocument.oleObjec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auto"/>
        </w:rPr>
      </w:pPr>
      <w:r>
        <w:rPr>
          <w:color w:val="auto"/>
        </w:rPr>
        <w:t>Chapter 3</w:t>
      </w:r>
    </w:p>
    <w:p>
      <w:pPr>
        <w:pStyle w:val="Normal"/>
        <w:rPr>
          <w:color w:val="auto"/>
        </w:rPr>
      </w:pPr>
      <w:r>
        <w:rPr>
          <w:color w:val="auto"/>
        </w:rPr>
      </w:r>
    </w:p>
    <w:p>
      <w:pPr>
        <w:pStyle w:val="Normal"/>
        <w:rPr>
          <w:color w:val="auto"/>
        </w:rPr>
      </w:pPr>
      <w:r>
        <w:rPr>
          <w:color w:val="auto"/>
        </w:rPr>
      </w:r>
    </w:p>
    <w:p>
      <w:pPr>
        <w:pStyle w:val="Heading2"/>
        <w:ind w:hanging="0" w:start="0"/>
        <w:rPr>
          <w:color w:val="auto"/>
        </w:rPr>
      </w:pPr>
      <w:r>
        <w:rPr>
          <w:color w:val="auto"/>
        </w:rPr>
        <w:t>3.4</w:t>
        <w:tab/>
        <w:t>Stochastic Volatility Models</w:t>
      </w:r>
    </w:p>
    <w:p>
      <w:pPr>
        <w:pStyle w:val="Normal"/>
        <w:rPr>
          <w:color w:val="auto"/>
        </w:rPr>
      </w:pPr>
      <w:r>
        <w:rPr>
          <w:color w:val="auto"/>
        </w:rPr>
      </w:r>
    </w:p>
    <w:p>
      <w:pPr>
        <w:pStyle w:val="Normal"/>
        <w:rPr/>
      </w:pPr>
      <w:r>
        <w:rPr/>
        <w:t xml:space="preserve">In section 2.5 the authors introduced the concept of stochastic volatility models for energy price evolution.  Recall that a simple model that yields skewed spot price return distributions has a stochastic term that can be generalised as </w:t>
      </w:r>
      <w:r>
        <w:rPr/>
      </w:r>
      <m:oMath xmlns:m="http://schemas.openxmlformats.org/officeDocument/2006/math">
        <m:sSup>
          <m:e>
            <m:r>
              <m:t xml:space="preserve">σS</m:t>
            </m:r>
          </m:e>
          <m:sup>
            <m:r>
              <m:t xml:space="preserve">γ</m:t>
            </m:r>
          </m:sup>
        </m:sSup>
        <m:r>
          <m:rPr>
            <m:lit/>
            <m:nor/>
          </m:rPr>
          <m:t xml:space="preserve">dz</m:t>
        </m:r>
      </m:oMath>
      <w:r>
        <w:rPr/>
        <w:t xml:space="preserve">, where </w:t>
      </w:r>
      <w:r>
        <w:rPr>
          <w:rFonts w:eastAsia="Symbol" w:cs="Symbol" w:ascii="Symbol" w:hAnsi="Symbol"/>
          <w:color w:val="auto"/>
        </w:rPr>
        <w:sym w:font="Symbol" w:char="f067"/>
      </w:r>
      <w:r>
        <w:rPr>
          <w:color w:val="auto"/>
        </w:rPr>
        <w:t xml:space="preserve"> is between 0 and 1.  Any dependence on price is factored out, and the volatility term </w:t>
      </w:r>
      <w:r>
        <w:rPr>
          <w:rFonts w:eastAsia="Symbol" w:cs="Symbol" w:ascii="Symbol" w:hAnsi="Symbol"/>
          <w:color w:val="auto"/>
        </w:rPr>
        <w:sym w:font="Symbol" w:char="f073"/>
      </w:r>
      <w:r>
        <w:rPr>
          <w:color w:val="auto"/>
        </w:rPr>
        <w:t xml:space="preserve"> is explicitly constant with respect to time. A process with constant volatility is termed homoskedastic, while a process with time dependent volatility, be it deterministic or random, is termed heteroskedastic. Part of the appeal of constant-volatility models is their mathematical tractability and relative ease of estimation. There is no mathematical reason, however, that requires volatility to be a constant, and indeed many commodity markets exhibit time varying volatility.  For example, figure 3.1 shows the 30-day rolling volatility for Californian average daily PX prices from April 1, 1998 until May 31, 2000, and clearly suggests a price volatility that is not constant in time but rather is best described by a process with both periodic and stochastic elements.</w:t>
      </w:r>
    </w:p>
    <w:p>
      <w:pPr>
        <w:pStyle w:val="Normal"/>
        <w:rPr>
          <w:color w:val="auto"/>
        </w:rPr>
      </w:pPr>
      <w:r>
        <w:rPr>
          <w:color w:val="auto"/>
        </w:rPr>
      </w:r>
    </w:p>
    <w:p>
      <w:pPr>
        <w:pStyle w:val="Heading4"/>
        <w:ind w:hanging="180" w:start="0" w:end="0"/>
        <w:jc w:val="center"/>
        <w:rPr/>
      </w:pPr>
      <w:bookmarkStart w:id="0" w:name="_Ref486043038"/>
      <w:r>
        <w:rPr>
          <w:color w:val="auto"/>
        </w:rPr>
        <w:t>Figure 3.1</w:t>
      </w:r>
      <w:bookmarkEnd w:id="0"/>
      <w:r>
        <w:rPr>
          <w:color w:val="auto"/>
          <w:lang w:val="en-CA"/>
        </w:rPr>
        <w:t xml:space="preserve"> 30-Day Rolling Annualized Volatility</w:t>
      </w:r>
    </w:p>
    <w:p>
      <w:pPr>
        <w:pStyle w:val="Heading4"/>
        <w:ind w:hanging="180" w:start="0" w:end="0"/>
        <w:jc w:val="center"/>
        <w:rPr>
          <w:color w:val="auto"/>
        </w:rPr>
      </w:pPr>
      <w:r>
        <w:rPr>
          <w:color w:val="auto"/>
          <w:lang w:val="en-CA"/>
        </w:rPr>
        <w:t>Californian Day-Ahead Average PX Price (April 1, 1998 - May 31, 2000)</w:t>
      </w:r>
    </w:p>
    <w:p>
      <w:pPr>
        <w:pStyle w:val="Normal"/>
        <w:jc w:val="center"/>
        <w:rPr>
          <w:color w:val="auto"/>
        </w:rPr>
      </w:pPr>
      <w:bookmarkStart w:id="1" w:name="_1023543614"/>
      <w:bookmarkStart w:id="2" w:name="_1022913888"/>
      <w:bookmarkEnd w:id="1"/>
      <w:bookmarkEnd w:id="2"/>
      <w:r>
        <w:rPr>
          <w:color w:val="auto"/>
        </w:rPr>
        <w:object w:dxaOrig="15360" w:dyaOrig="117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0.8pt;height:284.15pt" filled="f" o:ole="">
            <v:imagedata r:id="rId3" o:title=""/>
          </v:shape>
          <o:OLEObject Type="Embed" ProgID="Excel.Sheet.12" ShapeID="ole_rId2" DrawAspect="Content" ObjectID="_1556091313" r:id="rId2"/>
        </w:object>
      </w:r>
    </w:p>
    <w:p>
      <w:pPr>
        <w:pStyle w:val="Header"/>
        <w:tabs>
          <w:tab w:val="clear" w:pos="4320"/>
          <w:tab w:val="clear" w:pos="8640"/>
        </w:tabs>
        <w:rPr>
          <w:color w:val="auto"/>
        </w:rPr>
      </w:pPr>
      <w:r>
        <w:rPr>
          <w:color w:val="auto"/>
        </w:rPr>
      </w:r>
    </w:p>
    <w:p>
      <w:pPr>
        <w:pStyle w:val="Header"/>
        <w:tabs>
          <w:tab w:val="clear" w:pos="4320"/>
          <w:tab w:val="clear" w:pos="8640"/>
        </w:tabs>
        <w:rPr>
          <w:color w:val="auto"/>
        </w:rPr>
      </w:pPr>
      <w:r>
        <w:rPr>
          <w:color w:val="auto"/>
        </w:rPr>
        <w:t>We have already seen a simple example of stochastic volatility in section 2.5 with the Hull-White mean reverting model represented by equations (2.10) and (2.11), where the variance is itself cast as a diffusion process. Price models with deterministically time dependent volatility are treated in chapter 8 in the context of forward contract price dynamics.</w:t>
      </w:r>
    </w:p>
    <w:p>
      <w:pPr>
        <w:pStyle w:val="Normal"/>
        <w:rPr>
          <w:color w:val="auto"/>
        </w:rPr>
      </w:pPr>
      <w:r>
        <w:rPr>
          <w:color w:val="auto"/>
        </w:rPr>
      </w:r>
    </w:p>
    <w:p>
      <w:pPr>
        <w:pStyle w:val="Normal"/>
        <w:rPr>
          <w:color w:val="auto"/>
        </w:rPr>
      </w:pPr>
      <w:r>
        <w:rPr>
          <w:color w:val="auto"/>
        </w:rPr>
        <w:t>As noted in the previous section, energy commodity price return distributions tend to be leptokurtic or fat tailed.  In addition, some commodities, such as crude oil, also exhibit volatility clustering.  These behaviours are consistent with a process where the volatility is both stochastic and autoregressive. Models that attempt to incorporate and explain these behaviours go by the generic name of Autoregressive Conditional Heteroskedastic or, less formidably, simply ARCH models.  First proposed by Engle (1982) to model price inflation, ARCH models have been successfully applied in many different areas of finance including interest rates, foreign exchange, and equities.  As a result, variations on the basic concept are myriad and the literature on the subject is extensive.  See Bollerslev (1992) for a review.</w:t>
      </w:r>
    </w:p>
    <w:p>
      <w:pPr>
        <w:pStyle w:val="Normal"/>
        <w:rPr>
          <w:color w:val="auto"/>
        </w:rPr>
      </w:pPr>
      <w:r>
        <w:rPr>
          <w:color w:val="auto"/>
        </w:rPr>
      </w:r>
    </w:p>
    <w:p>
      <w:pPr>
        <w:pStyle w:val="Normal"/>
        <w:rPr>
          <w:color w:val="auto"/>
        </w:rPr>
      </w:pPr>
      <w:r>
        <w:rPr>
          <w:color w:val="auto"/>
        </w:rPr>
        <w:t>It is typical in ARCH models of asset prices to write the price returns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rPr>
            <m:lit/>
            <m:nor/>
          </m:rPr>
          <m:t xml:space="preserve">ln</m:t>
        </m:r>
        <m:d>
          <m:dPr>
            <m:begChr m:val="("/>
            <m:endChr m:val=")"/>
          </m:dPr>
          <m:e>
            <m:f>
              <m:num>
                <m:sSub>
                  <m:e>
                    <m:r>
                      <m:t xml:space="preserve">S</m:t>
                    </m:r>
                  </m:e>
                  <m:sub>
                    <m:r>
                      <m:t xml:space="preserve">t</m:t>
                    </m:r>
                  </m:sub>
                </m:sSub>
              </m:num>
              <m:den>
                <m:sSub>
                  <m:e>
                    <m:r>
                      <m:t xml:space="preserve">S</m:t>
                    </m:r>
                  </m:e>
                  <m:sub>
                    <m:r>
                      <m:t xml:space="preserve">t</m:t>
                    </m:r>
                    <m:r>
                      <m:t xml:space="preserve">−</m:t>
                    </m:r>
                    <m:r>
                      <m:t xml:space="preserve">1</m:t>
                    </m:r>
                  </m:sub>
                </m:sSub>
              </m:den>
            </m:f>
          </m:e>
        </m:d>
        <m:r>
          <m:t xml:space="preserve">=</m:t>
        </m:r>
        <m:r>
          <m:t xml:space="preserve">κ</m:t>
        </m:r>
        <m:r>
          <m:t xml:space="preserve">+</m:t>
        </m:r>
        <m:sSub>
          <m:e>
            <m:r>
              <m:t xml:space="preserve">u</m:t>
            </m:r>
          </m:e>
          <m:sub>
            <m:r>
              <m:t xml:space="preserve">t</m:t>
            </m:r>
          </m:sub>
        </m:sSub>
      </m:oMath>
      <w:r>
        <w:rPr>
          <w:color w:val="auto"/>
        </w:rPr>
        <w:tab/>
        <w:t>(3.13)</w:t>
      </w:r>
    </w:p>
    <w:p>
      <w:pPr>
        <w:pStyle w:val="Normal"/>
        <w:rPr>
          <w:color w:val="auto"/>
        </w:rPr>
      </w:pPr>
      <w:r>
        <w:rPr>
          <w:color w:val="auto"/>
        </w:rPr>
      </w:r>
    </w:p>
    <w:p>
      <w:pPr>
        <w:pStyle w:val="Normal"/>
        <w:rPr/>
      </w:pPr>
      <w:r>
        <w:rPr>
          <w:color w:val="auto"/>
        </w:rPr>
        <w:t xml:space="preserve">where </w:t>
      </w:r>
      <w:r>
        <w:rPr>
          <w:rFonts w:eastAsia="Symbol" w:cs="Symbol" w:ascii="Symbol" w:hAnsi="Symbol"/>
          <w:i/>
          <w:color w:val="auto"/>
        </w:rPr>
        <w:sym w:font="Symbol" w:char="f06b"/>
      </w:r>
      <w:r>
        <w:rPr>
          <w:color w:val="auto"/>
        </w:rPr>
        <w:t xml:space="preserve"> is a constant mean term, and </w:t>
      </w:r>
      <w:r>
        <w:rPr>
          <w:i/>
          <w:color w:val="auto"/>
        </w:rPr>
        <w:t>u</w:t>
      </w:r>
      <w:r>
        <w:rPr>
          <w:i/>
          <w:color w:val="auto"/>
          <w:vertAlign w:val="subscript"/>
        </w:rPr>
        <w:t>t</w:t>
      </w:r>
      <w:r>
        <w:rPr>
          <w:color w:val="auto"/>
        </w:rPr>
        <w:t xml:space="preserve"> is the "innovation at time t". The innovations are stochastic and written as </w:t>
      </w:r>
      <w:r>
        <w:rPr>
          <w:color w:val="auto"/>
        </w:rPr>
      </w:r>
      <m:oMath xmlns:m="http://schemas.openxmlformats.org/officeDocument/2006/math">
        <m:sSub>
          <m:e>
            <m:r>
              <m:t xml:space="preserve">u</m:t>
            </m:r>
          </m:e>
          <m:sub>
            <m:r>
              <m:t xml:space="preserve">t</m:t>
            </m:r>
          </m:sub>
        </m:sSub>
        <m:r>
          <m:t xml:space="preserve">=</m:t>
        </m:r>
        <m:sSub>
          <m:e>
            <m:r>
              <m:t xml:space="preserve">σ</m:t>
            </m:r>
          </m:e>
          <m:sub>
            <m:r>
              <m:t xml:space="preserve">t</m:t>
            </m:r>
          </m:sub>
        </m:sSub>
        <m:sSub>
          <m:e>
            <m:r>
              <m:t xml:space="preserve">ε</m:t>
            </m:r>
          </m:e>
          <m:sub>
            <m:r>
              <m:t xml:space="preserve">t</m:t>
            </m:r>
          </m:sub>
        </m:sSub>
      </m:oMath>
      <w:r>
        <w:rPr>
          <w:color w:val="auto"/>
        </w:rPr>
        <w:t>, where</w:t>
      </w:r>
      <w:r>
        <w:rPr>
          <w:color w:val="auto"/>
        </w:rPr>
      </w:r>
      <m:oMath xmlns:m="http://schemas.openxmlformats.org/officeDocument/2006/math">
        <m:sSub>
          <m:e>
            <m:r>
              <m:t xml:space="preserve">ε</m:t>
            </m:r>
          </m:e>
          <m:sub>
            <m:r>
              <m:t xml:space="preserve">t</m:t>
            </m:r>
          </m:sub>
        </m:sSub>
      </m:oMath>
      <w:r>
        <w:rPr>
          <w:color w:val="auto"/>
        </w:rPr>
        <w:t xml:space="preserve"> is an independent random error distributed as N(0,1).  Now the essential feature of ARCH modelling is to make the innovation variance at time </w:t>
      </w:r>
      <w:r>
        <w:rPr>
          <w:i/>
          <w:color w:val="auto"/>
        </w:rPr>
        <w:t>t</w:t>
      </w:r>
      <w:r>
        <w:rPr>
          <w:color w:val="auto"/>
        </w:rPr>
        <w:t xml:space="preserve"> conditional on previously realised innovations.  For example in an ARCH(</w:t>
      </w:r>
      <w:r>
        <w:rPr>
          <w:i/>
          <w:color w:val="auto"/>
        </w:rPr>
        <w:t>q</w:t>
      </w:r>
      <w:r>
        <w:rPr>
          <w:color w:val="auto"/>
        </w:rPr>
        <w:t>) model, the variance would be represented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u</m:t>
            </m:r>
          </m:e>
          <m:sub>
            <m:r>
              <m:t xml:space="preserve">t</m:t>
            </m:r>
            <m:r>
              <m:t xml:space="preserve">−</m:t>
            </m:r>
            <m:r>
              <m:t xml:space="preserve">2</m:t>
            </m:r>
          </m:sub>
          <m:sup>
            <m:r>
              <m:t xml:space="preserve">2</m:t>
            </m:r>
          </m:sup>
        </m:sSubSup>
        <m:r>
          <m:t xml:space="preserve">+</m:t>
        </m:r>
        <m:r>
          <m:t xml:space="preserve">…</m:t>
        </m:r>
        <m:r>
          <m:t xml:space="preserve">+</m:t>
        </m:r>
        <m:sSub>
          <m:e>
            <m:r>
              <m:t xml:space="preserve">α</m:t>
            </m:r>
          </m:e>
          <m:sub>
            <m:r>
              <m:t xml:space="preserve">q</m:t>
            </m:r>
          </m:sub>
        </m:sSub>
        <m:sSubSup>
          <m:e>
            <m:r>
              <m:t xml:space="preserve">u</m:t>
            </m:r>
          </m:e>
          <m:sub>
            <m:r>
              <m:t xml:space="preserve">t</m:t>
            </m:r>
            <m:r>
              <m:t xml:space="preserve">−</m:t>
            </m:r>
            <m:r>
              <m:t xml:space="preserve">q</m:t>
            </m:r>
          </m:sub>
          <m:sup>
            <m:r>
              <m:t xml:space="preserve">2</m:t>
            </m:r>
          </m:sup>
        </m:sSubSup>
      </m:oMath>
      <w:r>
        <w:rPr>
          <w:color w:val="auto"/>
        </w:rPr>
        <w:tab/>
        <w:t>(3.14)</w:t>
      </w:r>
    </w:p>
    <w:p>
      <w:pPr>
        <w:pStyle w:val="Normal"/>
        <w:rPr>
          <w:color w:val="auto"/>
        </w:rPr>
      </w:pPr>
      <w:r>
        <w:rPr>
          <w:color w:val="auto"/>
        </w:rPr>
      </w:r>
    </w:p>
    <w:p>
      <w:pPr>
        <w:pStyle w:val="Normal"/>
        <w:rPr/>
      </w:pPr>
      <w:r>
        <w:rPr>
          <w:color w:val="auto"/>
        </w:rPr>
        <w:t xml:space="preserve">Of course, the order of the equation </w:t>
      </w:r>
      <w:r>
        <w:rPr>
          <w:i/>
          <w:color w:val="auto"/>
        </w:rPr>
        <w:t>q</w:t>
      </w:r>
      <w:r>
        <w:rPr>
          <w:color w:val="auto"/>
        </w:rPr>
        <w:t xml:space="preserve"> is arbitrary.  In practical applications however, models with several terms are often required in order to capture the “decaying memory” of volatility.  To incorporate this feature in a more parsimonious way, Bollerslev (1986) developed a generalised ARCH model, or GARCH(p,q) model.  Here the variance equation includes both past innovations (of order </w:t>
      </w:r>
      <w:r>
        <w:rPr>
          <w:i/>
          <w:color w:val="auto"/>
        </w:rPr>
        <w:t>q</w:t>
      </w:r>
      <w:r>
        <w:rPr>
          <w:color w:val="auto"/>
        </w:rPr>
        <w:t xml:space="preserve">) and past conditional variances (of order </w:t>
      </w:r>
      <w:r>
        <w:rPr>
          <w:i/>
          <w:color w:val="auto"/>
        </w:rPr>
        <w:t>p</w:t>
      </w:r>
      <w:r>
        <w:rPr>
          <w:color w:val="auto"/>
        </w:rPr>
        <w:t xml:space="preserve">): </w:t>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nary>
          <m:naryPr>
            <m:chr m:val="∑"/>
          </m:naryPr>
          <m:sub>
            <m:r>
              <m:t xml:space="preserve">i</m:t>
            </m:r>
            <m:r>
              <m:t xml:space="preserve">=</m:t>
            </m:r>
            <m:r>
              <m:t xml:space="preserve">1</m:t>
            </m:r>
          </m:sub>
          <m:sup>
            <m:r>
              <m:t xml:space="preserve">q</m:t>
            </m:r>
          </m:sup>
          <m:e>
            <m:sSub>
              <m:e>
                <m:r>
                  <m:t xml:space="preserve">α</m:t>
                </m:r>
              </m:e>
              <m:sub>
                <m:r>
                  <m:t xml:space="preserve">i</m:t>
                </m:r>
              </m:sub>
            </m:sSub>
            <m:sSubSup>
              <m:e>
                <m:r>
                  <m:t xml:space="preserve">u</m:t>
                </m:r>
              </m:e>
              <m:sub>
                <m:r>
                  <m:t xml:space="preserve">t</m:t>
                </m:r>
                <m:r>
                  <m:t xml:space="preserve">−</m:t>
                </m:r>
                <m:r>
                  <m:t xml:space="preserve">i</m:t>
                </m:r>
              </m:sub>
              <m:sup>
                <m:r>
                  <m:t xml:space="preserve">2</m:t>
                </m:r>
              </m:sup>
            </m:sSubSup>
          </m:e>
        </m:nary>
        <m:r>
          <m:t xml:space="preserve">+</m:t>
        </m:r>
        <m:nary>
          <m:naryPr>
            <m:chr m:val="∑"/>
          </m:naryPr>
          <m:sub>
            <m:r>
              <m:t xml:space="preserve">i</m:t>
            </m:r>
            <m:r>
              <m:t xml:space="preserve">=</m:t>
            </m:r>
            <m:r>
              <m:t xml:space="preserve">1</m:t>
            </m:r>
          </m:sub>
          <m:sup>
            <m:r>
              <m:t xml:space="preserve">p</m:t>
            </m:r>
          </m:sup>
          <m:e>
            <m:sSub>
              <m:e>
                <m:r>
                  <m:t xml:space="preserve">β</m:t>
                </m:r>
              </m:e>
              <m:sub>
                <m:r>
                  <m:t xml:space="preserve">i</m:t>
                </m:r>
              </m:sub>
            </m:sSub>
            <m:sSubSup>
              <m:e>
                <m:r>
                  <m:t xml:space="preserve">σ</m:t>
                </m:r>
              </m:e>
              <m:sub>
                <m:r>
                  <m:t xml:space="preserve">t</m:t>
                </m:r>
                <m:r>
                  <m:t xml:space="preserve">−</m:t>
                </m:r>
                <m:r>
                  <m:t xml:space="preserve">i</m:t>
                </m:r>
              </m:sub>
              <m:sup>
                <m:r>
                  <m:t xml:space="preserve">2</m:t>
                </m:r>
              </m:sup>
            </m:sSubSup>
          </m:e>
        </m:nary>
      </m:oMath>
      <w:r>
        <w:rPr>
          <w:color w:val="auto"/>
        </w:rPr>
        <w:t>.</w:t>
        <w:tab/>
        <w:t>(3.15)</w:t>
      </w:r>
    </w:p>
    <w:p>
      <w:pPr>
        <w:pStyle w:val="Normal"/>
        <w:rPr>
          <w:color w:val="auto"/>
        </w:rPr>
      </w:pPr>
      <w:r>
        <w:rPr>
          <w:color w:val="auto"/>
        </w:rPr>
      </w:r>
    </w:p>
    <w:p>
      <w:pPr>
        <w:pStyle w:val="Normal"/>
        <w:rPr>
          <w:color w:val="auto"/>
        </w:rPr>
      </w:pPr>
      <w:r>
        <w:rPr>
          <w:color w:val="auto"/>
        </w:rPr>
        <w:t xml:space="preserve">Note that because the equation is recursive in variance, </w:t>
      </w:r>
      <w:r>
        <w:rPr>
          <w:rFonts w:eastAsia="Symbol" w:cs="Symbol" w:ascii="Symbol" w:hAnsi="Symbol"/>
          <w:color w:val="auto"/>
        </w:rPr>
        <w:sym w:font="Symbol" w:char="f073"/>
      </w:r>
      <w:r>
        <w:rPr>
          <w:i/>
          <w:color w:val="auto"/>
          <w:vertAlign w:val="subscript"/>
        </w:rPr>
        <w:t>t</w:t>
      </w:r>
      <w:r>
        <w:rPr>
          <w:color w:val="auto"/>
        </w:rPr>
        <w:t xml:space="preserve"> will effectively depend on all innovations.  As a result, a GARCH model with a few terms will often fit a data set as well as an ARCH model of much higher order.  In practice, the first order GARCH(1,1) model, shown in equation (3.16), is often quite adequate.</w:t>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w:r>
        <w:rPr>
          <w:color w:val="auto"/>
        </w:rPr>
        <w:tab/>
        <w:t>(3.16)</w:t>
      </w:r>
    </w:p>
    <w:p>
      <w:pPr>
        <w:pStyle w:val="Normal"/>
        <w:rPr>
          <w:color w:val="auto"/>
        </w:rPr>
      </w:pPr>
      <w:r>
        <w:rPr>
          <w:color w:val="auto"/>
        </w:rPr>
      </w:r>
    </w:p>
    <w:p>
      <w:pPr>
        <w:pStyle w:val="Normal"/>
        <w:rPr>
          <w:color w:val="auto"/>
        </w:rPr>
      </w:pPr>
      <w:r>
        <w:rPr>
          <w:color w:val="auto"/>
        </w:rPr>
        <w:t>Figures 3.2a and b show an example of a spot price process with a GARCH(1,1) volatility structure. Figure 3.2a shows the price path and associated rolling thirty day volatility, and Figure 3.2b shows the frequency distribution of the log price returns together with a superimposed normal distribution, the mean and standard deviation of which have been derived from the data.  As expected, prices exhibit periods of high and low volatility, and the distribution of log returns is leptokurtic.</w:t>
      </w:r>
    </w:p>
    <w:p>
      <w:pPr>
        <w:pStyle w:val="Normal"/>
        <w:rPr>
          <w:color w:val="auto"/>
        </w:rPr>
      </w:pPr>
      <w:r>
        <w:rPr>
          <w:color w:val="auto"/>
        </w:rPr>
      </w:r>
    </w:p>
    <w:p>
      <w:pPr>
        <w:pStyle w:val="Heading4"/>
        <w:ind w:hanging="270" w:end="0"/>
        <w:jc w:val="center"/>
        <w:rPr/>
      </w:pPr>
      <w:bookmarkStart w:id="3" w:name="_Ref486047388"/>
      <w:r>
        <w:rPr/>
        <w:t>Figure 3.2</w:t>
      </w:r>
      <w:bookmarkEnd w:id="3"/>
      <w:r>
        <w:rPr/>
        <w:t>a Price Process and 30-day Rolling Annualised Volatility modelled using eq. 3.13 with</w:t>
      </w:r>
      <w:r>
        <w:rPr>
          <w:color w:val="auto"/>
        </w:rPr>
        <w:t xml:space="preserve"> GARCH(1,1) volatility (as described in eq. 3.16)</w:t>
      </w:r>
    </w:p>
    <w:p>
      <w:pPr>
        <w:pStyle w:val="Heading4"/>
        <w:jc w:val="center"/>
        <w:rPr>
          <w:color w:val="auto"/>
        </w:rPr>
      </w:pPr>
      <w:r>
        <w:rPr>
          <w:color w:val="auto"/>
        </w:rPr>
        <w:t xml:space="preserve">Model parameters: </w:t>
      </w:r>
      <w:r>
        <w:rPr>
          <w:rFonts w:eastAsia="Symbol" w:cs="Symbol" w:ascii="Symbol" w:hAnsi="Symbol"/>
          <w:i/>
          <w:color w:val="auto"/>
        </w:rPr>
        <w:sym w:font="Symbol" w:char="f06b"/>
      </w:r>
      <w:r>
        <w:rPr>
          <w:i/>
          <w:color w:val="auto"/>
        </w:rPr>
        <w:t xml:space="preserve">=0.0, </w:t>
      </w:r>
      <w:r>
        <w:rPr>
          <w:rFonts w:eastAsia="Symbol" w:cs="Symbol" w:ascii="Symbol" w:hAnsi="Symbol"/>
          <w:color w:val="auto"/>
        </w:rPr>
        <w:sym w:font="Symbol" w:char="f061"/>
      </w:r>
      <w:r>
        <w:rPr>
          <w:color w:val="auto"/>
          <w:vertAlign w:val="subscript"/>
        </w:rPr>
        <w:t>0</w:t>
      </w:r>
      <w:r>
        <w:rPr>
          <w:color w:val="auto"/>
        </w:rPr>
        <w:t xml:space="preserve">=0.0006, </w:t>
      </w:r>
      <w:r>
        <w:rPr>
          <w:rFonts w:eastAsia="Symbol" w:cs="Symbol" w:ascii="Symbol" w:hAnsi="Symbol"/>
          <w:color w:val="auto"/>
        </w:rPr>
        <w:sym w:font="Symbol" w:char="f061"/>
      </w:r>
      <w:r>
        <w:rPr>
          <w:color w:val="auto"/>
          <w:vertAlign w:val="subscript"/>
        </w:rPr>
        <w:t>1</w:t>
      </w:r>
      <w:r>
        <w:rPr>
          <w:color w:val="auto"/>
        </w:rPr>
        <w:t xml:space="preserve"> = 0.30, </w:t>
      </w:r>
      <w:r>
        <w:rPr>
          <w:rFonts w:eastAsia="Symbol" w:cs="Symbol" w:ascii="Symbol" w:hAnsi="Symbol"/>
          <w:color w:val="auto"/>
        </w:rPr>
        <w:sym w:font="Symbol" w:char="f062"/>
      </w:r>
      <w:r>
        <w:rPr>
          <w:color w:val="auto"/>
          <w:vertAlign w:val="subscript"/>
        </w:rPr>
        <w:t>1</w:t>
      </w:r>
      <w:r>
        <w:rPr>
          <w:color w:val="auto"/>
        </w:rPr>
        <w:t>=0.60</w:t>
      </w:r>
    </w:p>
    <w:p>
      <w:pPr>
        <w:pStyle w:val="Normal"/>
        <w:jc w:val="center"/>
        <w:rPr>
          <w:color w:val="auto"/>
        </w:rPr>
      </w:pPr>
      <w:bookmarkStart w:id="4" w:name="_1023543793"/>
      <w:bookmarkStart w:id="5" w:name="_1022918364"/>
      <w:bookmarkEnd w:id="4"/>
      <w:bookmarkEnd w:id="5"/>
      <w:r>
        <w:rPr>
          <w:color w:val="auto"/>
        </w:rPr>
        <w:object w:dxaOrig="14081" w:dyaOrig="947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4.35pt;height:256.3pt" filled="f" o:ole="">
            <v:imagedata r:id="rId5" o:title=""/>
          </v:shape>
          <o:OLEObject Type="Embed" ProgID="Excel.Sheet.12" ShapeID="ole_rId4" DrawAspect="Content" ObjectID="_396711980" r:id="rId4"/>
        </w:object>
      </w:r>
    </w:p>
    <w:p>
      <w:pPr>
        <w:pStyle w:val="Heading4"/>
        <w:jc w:val="center"/>
        <w:rPr>
          <w:color w:val="auto"/>
        </w:rPr>
      </w:pPr>
      <w:bookmarkStart w:id="6" w:name="_Ref486047404"/>
      <w:r>
        <w:rPr>
          <w:color w:val="auto"/>
        </w:rPr>
        <w:t>Figure 3.</w:t>
      </w:r>
      <w:bookmarkEnd w:id="6"/>
      <w:r>
        <w:rPr>
          <w:color w:val="auto"/>
        </w:rPr>
        <w:t>2b Frequency Histogram of the Log of Daily Price Returns</w:t>
      </w:r>
    </w:p>
    <w:p>
      <w:pPr>
        <w:pStyle w:val="Normal"/>
        <w:jc w:val="center"/>
        <w:rPr>
          <w:color w:val="auto"/>
        </w:rPr>
      </w:pPr>
      <w:bookmarkStart w:id="7" w:name="_1022917143"/>
      <w:bookmarkStart w:id="8" w:name="_1022917110"/>
      <w:bookmarkEnd w:id="7"/>
      <w:bookmarkEnd w:id="8"/>
      <w:r>
        <w:rPr>
          <w:color w:val="auto"/>
        </w:rPr>
        <w:object w:dxaOrig="15360" w:dyaOrig="1177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4.75pt;height:254.85pt" filled="f" o:ole="">
            <v:imagedata r:id="rId7" o:title=""/>
          </v:shape>
          <o:OLEObject Type="Embed" ProgID="Excel.Sheet.12" ShapeID="ole_rId6" DrawAspect="Content" ObjectID="_1134710512" r:id="rId6"/>
        </w:object>
      </w:r>
    </w:p>
    <w:p>
      <w:pPr>
        <w:pStyle w:val="Normal"/>
        <w:rPr>
          <w:color w:val="auto"/>
        </w:rPr>
      </w:pPr>
      <w:r>
        <w:rPr>
          <w:color w:val="auto"/>
        </w:rPr>
      </w:r>
    </w:p>
    <w:p>
      <w:pPr>
        <w:pStyle w:val="Heading3"/>
        <w:ind w:hanging="0" w:start="0"/>
        <w:rPr>
          <w:color w:val="auto"/>
        </w:rPr>
      </w:pPr>
      <w:r>
        <w:rPr>
          <w:color w:val="auto"/>
        </w:rPr>
        <w:t>3.4.1</w:t>
        <w:tab/>
        <w:t>Estimation and Testing</w:t>
      </w:r>
    </w:p>
    <w:p>
      <w:pPr>
        <w:pStyle w:val="Normal"/>
        <w:rPr>
          <w:color w:val="auto"/>
        </w:rPr>
      </w:pPr>
      <w:r>
        <w:rPr>
          <w:color w:val="auto"/>
        </w:rPr>
      </w:r>
    </w:p>
    <w:p>
      <w:pPr>
        <w:pStyle w:val="Normal"/>
        <w:rPr>
          <w:color w:val="auto"/>
        </w:rPr>
      </w:pPr>
      <w:r>
        <w:rPr>
          <w:color w:val="auto"/>
        </w:rPr>
        <w:t>Once a model is chosen as a hypothesis for a given price behaviour, the parameters for that model must be estimated. In addition to parameter estimation, an equally important and often times more difficult task is to test how well the proposed model describes the data. The fields of estimation and testing techniques are vast, representing core subjects in statistics and econometrics. By necessity we will be brief in this section, concentrating only on the essential aspects of estimation as it relates to energy commodity price modelling. More extensive discussions of the topics touched on here may be found in Greene (1997) and Davidson and MacKinnon (1993), for example.</w:t>
      </w:r>
    </w:p>
    <w:p>
      <w:pPr>
        <w:pStyle w:val="Normal"/>
        <w:rPr>
          <w:color w:val="auto"/>
        </w:rPr>
      </w:pPr>
      <w:r>
        <w:rPr>
          <w:color w:val="auto"/>
        </w:rPr>
      </w:r>
    </w:p>
    <w:p>
      <w:pPr>
        <w:pStyle w:val="Normal"/>
        <w:rPr/>
      </w:pPr>
      <w:r>
        <w:rPr>
          <w:color w:val="auto"/>
        </w:rPr>
        <w:t xml:space="preserve">As we shall see in a moment, there is more to parameter estimation than simply running regressions.  There are an infinite number of possible estimators for a given model parameter: an arbitrary number, 42 for example, is a perfectly acceptable estimator of the mean of a price process; it is simply not very accurate, and hence not very useful.  Two properties, bias and efficiency define the usefulness of a parameter estimator. An estimator of a parameter is a random number with a mean and variance.  Clearly, we would like our measurement to be “the best guess” possible of the actual parameter value.  In other words, if </w:t>
      </w:r>
      <w:r>
        <w:rPr>
          <w:color w:val="auto"/>
        </w:rPr>
        <w:object w:dxaOrig="220" w:dyaOrig="3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1pt;height:17pt" filled="f" o:ole="">
            <v:imagedata r:id="rId9" o:title=""/>
          </v:shape>
          <o:OLEObject Type="Embed" ProgID="" ShapeID="ole_rId8" DrawAspect="Content" ObjectID="_1491185858" r:id="rId8"/>
        </w:object>
      </w:r>
      <w:r>
        <w:rPr>
          <w:color w:val="auto"/>
        </w:rPr>
        <w:t xml:space="preserve"> is the estimate of the true value </w:t>
      </w:r>
      <w:r>
        <w:rPr>
          <w:rFonts w:eastAsia="Symbol" w:cs="Symbol" w:ascii="Symbol" w:hAnsi="Symbol"/>
          <w:color w:val="auto"/>
        </w:rPr>
        <w:sym w:font="Symbol" w:char="f071"/>
      </w:r>
      <w:r>
        <w:rPr>
          <w:color w:val="auto"/>
        </w:rPr>
        <w:t xml:space="preserve">, then it is desirable that </w:t>
      </w:r>
      <w:r>
        <w:rPr>
          <w:i/>
          <w:color w:val="auto"/>
        </w:rPr>
        <w:t>E</w:t>
      </w:r>
      <w:r>
        <w:rPr>
          <w:color w:val="auto"/>
        </w:rPr>
        <w:t>[</w:t>
      </w:r>
      <w:r>
        <w:rPr>
          <w:color w:val="auto"/>
        </w:rPr>
        <w:object w:dxaOrig="220" w:dyaOrig="3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1pt;height:17pt" filled="f" o:ole="">
            <v:imagedata r:id="rId11" o:title=""/>
          </v:shape>
          <o:OLEObject Type="Embed" ProgID="" ShapeID="ole_rId10" DrawAspect="Content" ObjectID="_53720821" r:id="rId10"/>
        </w:object>
      </w:r>
      <w:r>
        <w:rPr>
          <w:color w:val="auto"/>
        </w:rPr>
        <w:t xml:space="preserve">- </w:t>
      </w:r>
      <w:r>
        <w:rPr>
          <w:rFonts w:eastAsia="Symbol" w:cs="Symbol" w:ascii="Symbol" w:hAnsi="Symbol"/>
          <w:color w:val="auto"/>
        </w:rPr>
        <w:sym w:font="Symbol" w:char="f071"/>
      </w:r>
      <w:r>
        <w:rPr>
          <w:color w:val="auto"/>
        </w:rPr>
        <w:t xml:space="preserve">] = 0.  An estimator is said to be unbiased if this property holds. Similarly, it is preferable to have an estimate with the smallest possible variance.  For example, let </w:t>
      </w:r>
      <w:r>
        <w:rPr>
          <w:rFonts w:eastAsia="Symbol" w:cs="Symbol" w:ascii="Symbol" w:hAnsi="Symbol"/>
          <w:color w:val="auto"/>
        </w:rPr>
        <w:sym w:font="Symbol" w:char="f071"/>
      </w:r>
      <w:r>
        <w:rPr>
          <w:color w:val="auto"/>
          <w:vertAlign w:val="subscript"/>
        </w:rPr>
        <w:t xml:space="preserve">1 </w:t>
      </w:r>
      <w:r>
        <w:rPr>
          <w:color w:val="auto"/>
        </w:rPr>
        <w:t xml:space="preserve">be the average of the sum of every fourth price in a time series.  This is an entirely acceptable and unbiased estimate of the mean price.  However, the variance of </w:t>
      </w:r>
      <w:r>
        <w:rPr>
          <w:rFonts w:eastAsia="Symbol" w:cs="Symbol" w:ascii="Symbol" w:hAnsi="Symbol"/>
          <w:color w:val="auto"/>
        </w:rPr>
        <w:sym w:font="Symbol" w:char="f071"/>
      </w:r>
      <w:r>
        <w:rPr>
          <w:color w:val="auto"/>
          <w:vertAlign w:val="subscript"/>
        </w:rPr>
        <w:t xml:space="preserve">1 </w:t>
      </w:r>
      <w:r>
        <w:rPr>
          <w:color w:val="auto"/>
        </w:rPr>
        <w:t xml:space="preserve">is twice as large as that of the estimate </w:t>
      </w:r>
      <w:r>
        <w:rPr>
          <w:rFonts w:eastAsia="Symbol" w:cs="Symbol" w:ascii="Symbol" w:hAnsi="Symbol"/>
          <w:color w:val="auto"/>
        </w:rPr>
        <w:sym w:font="Symbol" w:char="f071"/>
      </w:r>
      <w:r>
        <w:rPr>
          <w:color w:val="auto"/>
          <w:vertAlign w:val="subscript"/>
        </w:rPr>
        <w:t>2</w:t>
      </w:r>
      <w:r>
        <w:rPr>
          <w:color w:val="auto"/>
        </w:rPr>
        <w:t xml:space="preserve"> derived from taking the average of the sum of every price.  Clearly, </w:t>
      </w:r>
      <w:r>
        <w:rPr>
          <w:rFonts w:eastAsia="Symbol" w:cs="Symbol" w:ascii="Symbol" w:hAnsi="Symbol"/>
          <w:color w:val="auto"/>
        </w:rPr>
        <w:sym w:font="Symbol" w:char="f071"/>
      </w:r>
      <w:r>
        <w:rPr>
          <w:color w:val="auto"/>
          <w:vertAlign w:val="subscript"/>
        </w:rPr>
        <w:t>2</w:t>
      </w:r>
      <w:r>
        <w:rPr>
          <w:color w:val="auto"/>
        </w:rPr>
        <w:t xml:space="preserve"> is more “efficient” than </w:t>
      </w:r>
      <w:r>
        <w:rPr>
          <w:rFonts w:eastAsia="Symbol" w:cs="Symbol" w:ascii="Symbol" w:hAnsi="Symbol"/>
          <w:color w:val="auto"/>
        </w:rPr>
        <w:sym w:font="Symbol" w:char="f071"/>
      </w:r>
      <w:r>
        <w:rPr>
          <w:color w:val="auto"/>
          <w:vertAlign w:val="subscript"/>
        </w:rPr>
        <w:t xml:space="preserve">1 </w:t>
      </w:r>
      <w:r>
        <w:rPr>
          <w:color w:val="auto"/>
        </w:rPr>
        <w:t xml:space="preserve">because, </w:t>
      </w:r>
      <w:r>
        <w:rPr>
          <w:color w:val="auto"/>
        </w:rPr>
      </w:r>
      <m:oMath xmlns:m="http://schemas.openxmlformats.org/officeDocument/2006/math">
        <m:r>
          <m:t xml:space="preserve">E</m:t>
        </m:r>
        <m:d>
          <m:dPr>
            <m:begChr m:val="("/>
            <m:endChr m:val=")"/>
          </m:dPr>
          <m:e>
            <m:sSubSup>
              <m:e>
                <m:r>
                  <m:t xml:space="preserve">θ</m:t>
                </m:r>
              </m:e>
              <m:sub>
                <m:r>
                  <m:t xml:space="preserve">1</m:t>
                </m:r>
              </m:sub>
              <m:sup>
                <m:r>
                  <m:t xml:space="preserve">2</m:t>
                </m:r>
              </m:sup>
            </m:sSubSup>
          </m:e>
        </m:d>
        <m:r>
          <m:t xml:space="preserve">&gt;</m:t>
        </m:r>
        <m:r>
          <m:t xml:space="preserve">E</m:t>
        </m:r>
        <m:d>
          <m:dPr>
            <m:begChr m:val="("/>
            <m:endChr m:val=")"/>
          </m:dPr>
          <m:e>
            <m:sSubSup>
              <m:e>
                <m:r>
                  <m:t xml:space="preserve">θ</m:t>
                </m:r>
              </m:e>
              <m:sub>
                <m:r>
                  <m:t xml:space="preserve">2</m:t>
                </m:r>
              </m:sub>
              <m:sup>
                <m:r>
                  <m:t xml:space="preserve">2</m:t>
                </m:r>
              </m:sup>
            </m:sSubSup>
          </m:e>
        </m:d>
      </m:oMath>
      <w:r>
        <w:rPr>
          <w:color w:val="auto"/>
        </w:rPr>
        <w:t>. Both properties are important. An estimator that is biased but efficient may be preferable to an unbiased, inefficient estimator because it will provide tighter bounds on the range of possible parameter values.</w:t>
      </w:r>
    </w:p>
    <w:p>
      <w:pPr>
        <w:pStyle w:val="Normal"/>
        <w:rPr>
          <w:color w:val="auto"/>
        </w:rPr>
      </w:pPr>
      <w:r>
        <w:rPr>
          <w:color w:val="auto"/>
        </w:rPr>
      </w:r>
    </w:p>
    <w:p>
      <w:pPr>
        <w:pStyle w:val="Normal"/>
        <w:rPr>
          <w:color w:val="auto"/>
        </w:rPr>
      </w:pPr>
      <w:r>
        <w:rPr>
          <w:color w:val="auto"/>
        </w:rPr>
        <w:t>For the sake of completeness, we mention in passing that the concepts of bias and efficiency are applicable to finite-sample estimates only.  It is often the case that we do not know the finite properties of an estimator.  Therefore we must instead compare the asymptotic (i.e. in the limit of large sample size) properties of estimators to determine which is more suitable and then assume that the suitability holds in the real world of finite sampling.  The asymptotic properties most often described in the literature as desirable are consistency, asymptotic normality, and asymptotic efficiency.  While consistency and asymptotic normality are akin to bias in that they measure whether an estimate converges in some sense to the true value, they are not the same things.  Indeed, an estimator can be biased but consistent, or vice versa.</w:t>
      </w:r>
    </w:p>
    <w:p>
      <w:pPr>
        <w:pStyle w:val="Normal"/>
        <w:rPr>
          <w:color w:val="auto"/>
        </w:rPr>
      </w:pPr>
      <w:r>
        <w:rPr>
          <w:color w:val="auto"/>
        </w:rPr>
      </w:r>
    </w:p>
    <w:p>
      <w:pPr>
        <w:pStyle w:val="Heading3"/>
        <w:ind w:hanging="0" w:start="0"/>
        <w:rPr>
          <w:color w:val="auto"/>
        </w:rPr>
      </w:pPr>
      <w:r>
        <w:rPr>
          <w:color w:val="auto"/>
        </w:rPr>
        <w:t>3.4.2</w:t>
        <w:tab/>
        <w:t>Ordinary Least Squares</w:t>
      </w:r>
    </w:p>
    <w:p>
      <w:pPr>
        <w:pStyle w:val="Normal"/>
        <w:rPr>
          <w:color w:val="auto"/>
        </w:rPr>
      </w:pPr>
      <w:r>
        <w:rPr>
          <w:color w:val="auto"/>
        </w:rPr>
      </w:r>
    </w:p>
    <w:p>
      <w:pPr>
        <w:pStyle w:val="Normal"/>
        <w:rPr/>
      </w:pPr>
      <w:r>
        <w:rPr>
          <w:color w:val="auto"/>
        </w:rPr>
        <w:t>Ordinary Least Squared estimation (OLS) is the technique most likely to be familiar to readers because it is at the heart of standard linear regression analysis.  The concept is simple: we hypothesise that a set of N observations {y</w:t>
      </w:r>
      <w:r>
        <w:rPr>
          <w:color w:val="auto"/>
          <w:vertAlign w:val="subscript"/>
        </w:rPr>
        <w:t>t,</w:t>
      </w:r>
      <w:r>
        <w:rPr>
          <w:b/>
          <w:color w:val="auto"/>
        </w:rPr>
        <w:t xml:space="preserve"> x</w:t>
      </w:r>
      <w:r>
        <w:rPr>
          <w:i/>
          <w:color w:val="auto"/>
          <w:vertAlign w:val="subscript"/>
        </w:rPr>
        <w:t>t</w:t>
      </w:r>
      <w:r>
        <w:rPr>
          <w:color w:val="auto"/>
        </w:rPr>
        <w:t>} is related via the stochastic equation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t xml:space="preserve">θ</m:t>
        </m:r>
        <m:r>
          <m:t xml:space="preserve">⋅</m:t>
        </m:r>
        <m:r>
          <m:t xml:space="preserve">x</m:t>
        </m:r>
        <m:r>
          <m:t xml:space="preserve">+</m:t>
        </m:r>
        <m:r>
          <m:t xml:space="preserve">ε</m:t>
        </m:r>
      </m:oMath>
      <w:r>
        <w:rPr>
          <w:color w:val="auto"/>
        </w:rPr>
        <w:tab/>
        <w:t>(3.17)</w:t>
      </w:r>
    </w:p>
    <w:p>
      <w:pPr>
        <w:pStyle w:val="Normal"/>
        <w:rPr>
          <w:color w:val="auto"/>
        </w:rPr>
      </w:pPr>
      <w:r>
        <w:rPr>
          <w:color w:val="auto"/>
        </w:rPr>
      </w:r>
    </w:p>
    <w:p>
      <w:pPr>
        <w:pStyle w:val="Normal"/>
        <w:rPr/>
      </w:pPr>
      <w:r>
        <w:rPr>
          <w:color w:val="auto"/>
        </w:rPr>
        <w:t xml:space="preserve">where </w:t>
      </w:r>
      <w:r>
        <w:rPr>
          <w:rFonts w:eastAsia="Symbol" w:cs="Symbol" w:ascii="Symbol" w:hAnsi="Symbol"/>
          <w:b/>
          <w:color w:val="auto"/>
        </w:rPr>
        <w:sym w:font="Symbol" w:char="f071"/>
      </w:r>
      <w:r>
        <w:rPr>
          <w:b/>
          <w:color w:val="auto"/>
        </w:rPr>
        <w:t xml:space="preserve"> </w:t>
      </w:r>
      <w:r>
        <w:rPr>
          <w:color w:val="auto"/>
        </w:rPr>
        <w:t xml:space="preserve">is the set of unknown parameters.  We can estimate these parameters by choosing a set </w:t>
      </w:r>
      <w:r>
        <w:rPr>
          <w:color w:val="auto"/>
        </w:rPr>
      </w:r>
      <m:oMath xmlns:m="http://schemas.openxmlformats.org/officeDocument/2006/math">
        <m:acc>
          <m:accPr>
            <m:chr m:val="~"/>
          </m:accPr>
          <m:e>
            <m:r>
              <m:t xml:space="preserve">θ</m:t>
            </m:r>
          </m:e>
        </m:acc>
      </m:oMath>
      <w:r>
        <w:rPr>
          <w:color w:val="auto"/>
        </w:rPr>
        <w:t xml:space="preserve"> such that the sum of squared observed residuals (SSR) is minimised;</w:t>
      </w:r>
    </w:p>
    <w:p>
      <w:pPr>
        <w:pStyle w:val="Normal"/>
        <w:rPr>
          <w:color w:val="auto"/>
        </w:rPr>
      </w:pPr>
      <w:r>
        <w:rPr>
          <w:color w:val="auto"/>
        </w:rPr>
      </w:r>
      <w:bookmarkStart w:id="9" w:name="_Ref486089739"/>
      <w:bookmarkStart w:id="10" w:name="_Ref486089739"/>
      <w:bookmarkEnd w:id="10"/>
    </w:p>
    <w:p>
      <w:pPr>
        <w:pStyle w:val="Equation"/>
        <w:rPr/>
      </w:pPr>
      <w:bookmarkStart w:id="11" w:name="_Ref486089739"/>
      <w:bookmarkEnd w:id="11"/>
      <w:r>
        <w:rPr>
          <w:i/>
          <w:color w:val="auto"/>
        </w:rPr>
        <w:tab/>
      </w:r>
      <w:r>
        <w:rPr>
          <w:color w:val="auto"/>
        </w:rPr>
      </w:r>
      <m:oMath xmlns:m="http://schemas.openxmlformats.org/officeDocument/2006/math">
        <m:eqAr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r>
              <m:t xml:space="preserve">+</m:t>
            </m:r>
            <m:sSub>
              <m:e>
                <m:r>
                  <m:t xml:space="preserve">e</m:t>
                </m:r>
              </m:e>
              <m:sub>
                <m:r>
                  <m:t xml:space="preserve">t</m:t>
                </m:r>
              </m:sub>
            </m:sSub>
          </m:e>
          <m:e>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e>
                    </m:d>
                  </m:e>
                  <m:sup>
                    <m:r>
                      <m:t xml:space="preserve">2</m:t>
                    </m:r>
                  </m:sup>
                </m:sSup>
              </m:e>
            </m:nary>
          </m:e>
        </m:eqArr>
      </m:oMath>
      <w:r>
        <w:rPr>
          <w:color w:val="auto"/>
        </w:rPr>
        <w:tab/>
        <w:t>(3.18)</w:t>
      </w:r>
    </w:p>
    <w:p>
      <w:pPr>
        <w:pStyle w:val="Normal"/>
        <w:rPr>
          <w:color w:val="auto"/>
        </w:rPr>
      </w:pPr>
      <w:r>
        <w:rPr>
          <w:color w:val="auto"/>
        </w:rPr>
      </w:r>
    </w:p>
    <w:p>
      <w:pPr>
        <w:pStyle w:val="Normal"/>
        <w:rPr/>
      </w:pPr>
      <w:r>
        <w:rPr>
          <w:color w:val="auto"/>
        </w:rPr>
        <w:t xml:space="preserve">The OLS estimates </w:t>
      </w:r>
      <w:r>
        <w:rPr>
          <w:color w:val="auto"/>
        </w:rPr>
      </w:r>
      <m:oMath xmlns:m="http://schemas.openxmlformats.org/officeDocument/2006/math">
        <m:acc>
          <m:accPr>
            <m:chr m:val="~"/>
          </m:accPr>
          <m:e>
            <m:r>
              <m:t xml:space="preserve">θ</m:t>
            </m:r>
          </m:e>
        </m:acc>
      </m:oMath>
      <w:r>
        <w:rPr>
          <w:color w:val="auto"/>
        </w:rPr>
        <w:t>are found in the usual way by setting</w:t>
      </w:r>
      <w:r>
        <w:rPr>
          <w:color w:val="auto"/>
        </w:rPr>
      </w:r>
      <m:oMath xmlns:m="http://schemas.openxmlformats.org/officeDocument/2006/math">
        <m:f>
          <m:num>
            <m:r>
              <m:t xml:space="preserve">∂</m:t>
            </m:r>
            <m:r>
              <m:rPr>
                <m:lit/>
                <m:nor/>
              </m:rPr>
              <m:t xml:space="preserve">SSR</m:t>
            </m:r>
          </m:num>
          <m:den>
            <m:r>
              <m:t xml:space="preserve">∂</m:t>
            </m:r>
            <m:r>
              <m:t xml:space="preserve">θ</m:t>
            </m:r>
          </m:den>
        </m:f>
        <m:r>
          <m:t xml:space="preserve">=</m:t>
        </m:r>
        <m:r>
          <m:t xml:space="preserve">0</m:t>
        </m:r>
      </m:oMath>
      <w:r>
        <w:rPr>
          <w:color w:val="auto"/>
        </w:rPr>
        <w:t xml:space="preserve"> and solving for </w:t>
      </w:r>
      <w:r>
        <w:rPr>
          <w:color w:val="auto"/>
        </w:rPr>
      </w:r>
      <m:oMath xmlns:m="http://schemas.openxmlformats.org/officeDocument/2006/math">
        <m:acc>
          <m:accPr>
            <m:chr m:val="~"/>
          </m:accPr>
          <m:e>
            <m:r>
              <m:t xml:space="preserve">θ</m:t>
            </m:r>
          </m:e>
        </m:acc>
      </m:oMath>
      <w:bookmarkStart w:id="12" w:name="_Ref490236208"/>
      <w:r>
        <w:rPr>
          <w:rStyle w:val="FootnoteCharacters"/>
          <w:rStyle w:val="FootnoteReference"/>
          <w:color w:val="auto"/>
        </w:rPr>
        <w:footnoteReference w:id="2"/>
      </w:r>
      <w:bookmarkEnd w:id="12"/>
      <w:r>
        <w:rPr>
          <w:color w:val="auto"/>
        </w:rPr>
        <w:t>.  For example, suppose that we have a set of N observations {y</w:t>
      </w:r>
      <w:r>
        <w:rPr>
          <w:color w:val="auto"/>
          <w:vertAlign w:val="subscript"/>
        </w:rPr>
        <w:t>t</w:t>
      </w:r>
      <w:r>
        <w:rPr>
          <w:color w:val="auto"/>
        </w:rPr>
        <w:t>} that we hypothesise is the result of the pure diffusion equation represented above in equation (3.13):</w:t>
      </w:r>
    </w:p>
    <w:p>
      <w:pPr>
        <w:pStyle w:val="Normal"/>
        <w:rPr>
          <w:color w:val="auto"/>
        </w:rPr>
      </w:pPr>
      <w:r>
        <w:rPr>
          <w:color w:val="auto"/>
        </w:rPr>
      </w:r>
      <w:bookmarkStart w:id="13" w:name="_Ref486089701"/>
      <w:bookmarkStart w:id="14" w:name="_Ref486089701"/>
      <w:bookmarkEnd w:id="14"/>
    </w:p>
    <w:p>
      <w:pPr>
        <w:pStyle w:val="Equation"/>
        <w:rPr/>
      </w:pPr>
      <w:bookmarkStart w:id="15" w:name="_Ref486089701"/>
      <w:bookmarkEnd w:id="15"/>
      <w:r>
        <w:rPr>
          <w:i/>
          <w:color w:val="auto"/>
        </w:rPr>
        <w:tab/>
      </w:r>
      <w:r>
        <w:rPr>
          <w:color w:val="auto"/>
        </w:rPr>
      </w:r>
      <m:oMath xmlns:m="http://schemas.openxmlformats.org/officeDocument/2006/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w:r>
        <w:rPr>
          <w:color w:val="auto"/>
        </w:rPr>
        <w:t xml:space="preserve">,  </w:t>
      </w:r>
      <w:r>
        <w:rPr>
          <w:color w:val="auto"/>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auto"/>
        </w:rPr>
        <w:t>.</w:t>
        <w:tab/>
        <w:t>(3.19)</w:t>
      </w:r>
    </w:p>
    <w:p>
      <w:pPr>
        <w:pStyle w:val="Normal"/>
        <w:rPr>
          <w:color w:val="auto"/>
        </w:rPr>
      </w:pPr>
      <w:r>
        <w:rPr>
          <w:color w:val="auto"/>
        </w:rPr>
      </w:r>
    </w:p>
    <w:p>
      <w:pPr>
        <w:pStyle w:val="Normal"/>
        <w:rPr>
          <w:color w:val="auto"/>
        </w:rPr>
      </w:pPr>
      <w:r>
        <w:rPr>
          <w:color w:val="auto"/>
        </w:rPr>
        <w:t>The sum of squared residuals of this set is then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k</m:t>
                    </m:r>
                  </m:e>
                </m:d>
              </m:e>
              <m:sup>
                <m:r>
                  <m:t xml:space="preserve">2</m:t>
                </m:r>
              </m:sup>
            </m:sSup>
          </m:e>
        </m:nary>
      </m:oMath>
      <w:r>
        <w:rPr>
          <w:color w:val="auto"/>
        </w:rPr>
        <w:tab/>
        <w:t>(3.20)</w:t>
      </w:r>
    </w:p>
    <w:p>
      <w:pPr>
        <w:pStyle w:val="Normal"/>
        <w:rPr>
          <w:color w:val="auto"/>
        </w:rPr>
      </w:pPr>
      <w:r>
        <w:rPr>
          <w:color w:val="auto"/>
        </w:rPr>
      </w:r>
    </w:p>
    <w:p>
      <w:pPr>
        <w:pStyle w:val="Normal"/>
        <w:rPr/>
      </w:pPr>
      <w:r>
        <w:rPr>
          <w:color w:val="auto"/>
        </w:rPr>
        <w:t xml:space="preserve">Taking the derivative with respect to </w:t>
      </w:r>
      <w:r>
        <w:rPr>
          <w:i/>
          <w:color w:val="auto"/>
        </w:rPr>
        <w:t>k</w:t>
      </w:r>
      <w:r>
        <w:rPr>
          <w:color w:val="auto"/>
        </w:rPr>
        <w:t xml:space="preserve"> and setting the resultant equation equal to zero yields;</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f>
              <m:num>
                <m:r>
                  <m:t xml:space="preserve">∂</m:t>
                </m:r>
                <m:r>
                  <m:rPr>
                    <m:lit/>
                    <m:nor/>
                  </m:rPr>
                  <m:t xml:space="preserve">SSR</m:t>
                </m:r>
              </m:num>
              <m:den>
                <m:r>
                  <m:t xml:space="preserve">∂</m:t>
                </m:r>
                <m:r>
                  <m:t xml:space="preserve">k</m:t>
                </m:r>
              </m:den>
            </m:f>
            <m:r>
              <m:t xml:space="preserve">=</m:t>
            </m:r>
            <m:nary>
              <m:naryPr>
                <m:chr m:val="∑"/>
              </m:naryPr>
              <m:sub>
                <m:r>
                  <m:t xml:space="preserve">t</m:t>
                </m:r>
                <m:r>
                  <m:t xml:space="preserve">=</m:t>
                </m:r>
                <m:r>
                  <m:t xml:space="preserve">1</m:t>
                </m:r>
              </m:sub>
              <m:sup>
                <m:r>
                  <m:t xml:space="preserve">N</m:t>
                </m:r>
              </m:sup>
              <m:e>
                <m:r>
                  <m:t xml:space="preserve">2</m:t>
                </m:r>
                <m:d>
                  <m:dPr>
                    <m:begChr m:val="("/>
                    <m:endChr m:val=")"/>
                  </m:dPr>
                  <m:e>
                    <m:sSub>
                      <m:e>
                        <m:r>
                          <m:t xml:space="preserve">y</m:t>
                        </m:r>
                      </m:e>
                      <m:sub>
                        <m:r>
                          <m:t xml:space="preserve">t</m:t>
                        </m:r>
                      </m:sub>
                    </m:sSub>
                    <m:r>
                      <m:t xml:space="preserve">−</m:t>
                    </m:r>
                    <m:r>
                      <m:t xml:space="preserve">k</m:t>
                    </m:r>
                  </m:e>
                </m:d>
              </m:e>
            </m:nary>
            <m:r>
              <m:t xml:space="preserve">=</m:t>
            </m:r>
            <m:r>
              <m:t xml:space="preserve">0</m:t>
            </m:r>
          </m:e>
          <m:e>
            <m:r>
              <m:t xml:space="preserve">k</m:t>
            </m:r>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
            <m:r>
              <m:t xml:space="preserve">κ</m:t>
            </m:r>
            <m:r>
              <m:t xml:space="preserve">=</m:t>
            </m:r>
            <m:r>
              <m:t xml:space="preserve">E</m:t>
            </m:r>
            <m:d>
              <m:dPr>
                <m:begChr m:val="("/>
                <m:endChr m:val=")"/>
              </m:dPr>
              <m:e>
                <m:r>
                  <m:t xml:space="preserve">k</m:t>
                </m:r>
              </m:e>
            </m:d>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qArr>
      </m:oMath>
      <w:r>
        <w:rPr>
          <w:color w:val="auto"/>
        </w:rPr>
        <w:tab/>
        <w:t>(3.21)</w:t>
      </w:r>
    </w:p>
    <w:p>
      <w:pPr>
        <w:pStyle w:val="Normal"/>
        <w:rPr>
          <w:color w:val="auto"/>
        </w:rPr>
      </w:pPr>
      <w:r>
        <w:rPr>
          <w:color w:val="auto"/>
        </w:rPr>
      </w:r>
    </w:p>
    <w:p>
      <w:pPr>
        <w:pStyle w:val="Normal"/>
        <w:rPr/>
      </w:pPr>
      <w:r>
        <w:rPr>
          <w:color w:val="auto"/>
        </w:rPr>
        <w:t xml:space="preserve">as expected.  Because </w:t>
      </w:r>
      <w:r>
        <w:rPr>
          <w:rFonts w:eastAsia="Symbol" w:cs="Symbol" w:ascii="Symbol" w:hAnsi="Symbol"/>
          <w:color w:val="auto"/>
        </w:rPr>
        <w:sym w:font="Symbol" w:char="f073"/>
      </w:r>
      <w:r>
        <w:rPr>
          <w:color w:val="auto"/>
        </w:rPr>
        <w:t xml:space="preserve"> multiplies the stochastic term, we must resort to a slightly different method to find its estimate.  From equations (3.18) and (3.19) we have that</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e>
          <m:e>
            <m:sSub>
              <m:e>
                <m:r>
                  <m:t xml:space="preserve">e</m:t>
                </m:r>
              </m:e>
              <m:sub>
                <m:r>
                  <m:t xml:space="preserve">t</m:t>
                </m:r>
              </m:sub>
            </m:sSub>
            <m:r>
              <m:t xml:space="preserve">=</m:t>
            </m:r>
            <m:sSub>
              <m:e>
                <m:r>
                  <m:t xml:space="preserve">y</m:t>
                </m:r>
              </m:e>
              <m:sub>
                <m:r>
                  <m:t xml:space="preserve">t</m:t>
                </m:r>
              </m:sub>
            </m:sSub>
            <m:r>
              <m:t xml:space="preserve">−</m:t>
            </m:r>
            <m:r>
              <m:t xml:space="preserve">k</m:t>
            </m:r>
          </m:e>
        </m:eqArr>
      </m:oMath>
      <w:r>
        <w:rPr>
          <w:color w:val="auto"/>
        </w:rPr>
        <w:tab/>
        <w:t>(3.22)</w:t>
      </w:r>
    </w:p>
    <w:p>
      <w:pPr>
        <w:pStyle w:val="Normal"/>
        <w:rPr>
          <w:color w:val="auto"/>
        </w:rPr>
      </w:pPr>
      <w:r>
        <w:rPr>
          <w:color w:val="auto"/>
        </w:rPr>
      </w:r>
    </w:p>
    <w:p>
      <w:pPr>
        <w:pStyle w:val="Normal"/>
        <w:rPr/>
      </w:pPr>
      <w:r>
        <w:rPr>
          <w:color w:val="auto"/>
        </w:rPr>
        <w:t xml:space="preserve">We use these relations to define an </w:t>
      </w:r>
      <w:r>
        <w:rPr>
          <w:i/>
          <w:color w:val="auto"/>
        </w:rPr>
        <w:t>average</w:t>
      </w:r>
      <w:r>
        <w:rPr>
          <w:color w:val="auto"/>
        </w:rPr>
        <w:t xml:space="preserve"> innovation and</w:t>
      </w:r>
      <w:r>
        <w:rPr>
          <w:i/>
          <w:color w:val="auto"/>
        </w:rPr>
        <w:t xml:space="preserve"> average </w:t>
      </w:r>
      <w:r>
        <w:rPr>
          <w:color w:val="auto"/>
        </w:rPr>
        <w:t>return;</w:t>
      </w:r>
    </w:p>
    <w:p>
      <w:pPr>
        <w:pStyle w:val="Normal"/>
        <w:rPr>
          <w:color w:val="auto"/>
        </w:rPr>
      </w:pPr>
      <w:r>
        <w:rPr>
          <w:color w:val="auto"/>
        </w:rPr>
      </w:r>
    </w:p>
    <w:p>
      <w:pPr>
        <w:pStyle w:val="Equation"/>
        <w:rPr/>
      </w:pPr>
      <w:r>
        <w:rPr>
          <w:i/>
          <w:color w:val="auto"/>
        </w:rPr>
        <w:tab/>
      </w:r>
      <w:r>
        <w:rPr>
          <w:color w:val="auto"/>
        </w:rPr>
      </w:r>
      <m:oMath xmlns:m="http://schemas.openxmlformats.org/officeDocument/2006/math">
        <m:acc>
          <m:accPr>
            <m:chr m:val="¯"/>
          </m:accPr>
          <m:e>
            <m:r>
              <m:t xml:space="preserve">y</m:t>
            </m:r>
          </m:e>
        </m:acc>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r>
          <m:t xml:space="preserve">=</m:t>
        </m:r>
        <m:r>
          <m:t xml:space="preserve">k</m:t>
        </m:r>
      </m:oMath>
      <w:r>
        <w:rPr>
          <w:color w:val="auto"/>
        </w:rPr>
        <w:tab/>
        <w:t>(3.23)</w:t>
      </w:r>
    </w:p>
    <w:p>
      <w:pPr>
        <w:pStyle w:val="Normal"/>
        <w:rPr>
          <w:color w:val="auto"/>
        </w:rPr>
      </w:pPr>
      <w:r>
        <w:rPr>
          <w:color w:val="auto"/>
        </w:rPr>
      </w:r>
    </w:p>
    <w:p>
      <w:pPr>
        <w:pStyle w:val="Normal"/>
        <w:rPr>
          <w:color w:val="auto"/>
        </w:rPr>
      </w:pPr>
      <w:r>
        <w:rPr>
          <w:color w:val="auto"/>
        </w:rPr>
        <w:t xml:space="preserve">and </w:t>
      </w:r>
    </w:p>
    <w:p>
      <w:pPr>
        <w:pStyle w:val="Equation"/>
        <w:rPr/>
      </w:pPr>
      <w:r>
        <w:rPr>
          <w:i/>
        </w:rPr>
        <w:tab/>
      </w:r>
      <w:r>
        <w:rPr/>
      </w:r>
      <m:oMath xmlns:m="http://schemas.openxmlformats.org/officeDocument/2006/math">
        <m:r>
          <m:t xml:space="preserve">σ</m:t>
        </m:r>
        <m:acc>
          <m:accPr>
            <m:chr m:val="¯"/>
          </m:accPr>
          <m:e>
            <m:r>
              <m:t xml:space="preserve">ε</m:t>
            </m:r>
          </m:e>
        </m:acc>
        <m:r>
          <m:t xml:space="preserve">=</m:t>
        </m:r>
        <m:r>
          <m:t xml:space="preserve">σ</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ε</m:t>
                </m:r>
              </m:e>
              <m:sub>
                <m:r>
                  <m:t xml:space="preserve">t</m:t>
                </m:r>
              </m:sub>
            </m:sSub>
          </m:e>
        </m:nary>
        <m:r>
          <m:t xml:space="preserve">=</m:t>
        </m:r>
        <m:acc>
          <m:accPr>
            <m:chr m:val="¯"/>
          </m:accPr>
          <m:e>
            <m:r>
              <m:t xml:space="preserve">y</m:t>
            </m:r>
          </m:e>
        </m:acc>
        <m:r>
          <m:t xml:space="preserve">−</m:t>
        </m:r>
        <m:r>
          <m:t xml:space="preserve">κ</m:t>
        </m:r>
      </m:oMath>
      <w:r>
        <w:rPr/>
        <w:t>.</w:t>
        <w:tab/>
        <w:t>(3.24)</w:t>
      </w:r>
    </w:p>
    <w:p>
      <w:pPr>
        <w:pStyle w:val="Normal"/>
        <w:rPr>
          <w:color w:val="auto"/>
        </w:rPr>
      </w:pPr>
      <w:r>
        <w:rPr>
          <w:color w:val="auto"/>
        </w:rPr>
        <w:t>This in turn allows us to make the following substitutions;</w:t>
      </w:r>
    </w:p>
    <w:p>
      <w:pPr>
        <w:pStyle w:val="Equation"/>
        <w:rPr/>
      </w:pPr>
      <w:r>
        <w:rPr>
          <w:i/>
        </w:rPr>
        <w:tab/>
      </w:r>
      <w:r>
        <w:rPr/>
      </w:r>
      <m:oMath xmlns:m="http://schemas.openxmlformats.org/officeDocument/2006/math">
        <m:eqArr>
          <m:e>
            <m:sSub>
              <m:e>
                <m:r>
                  <m:t xml:space="preserve">e</m:t>
                </m:r>
              </m:e>
              <m:sub>
                <m:r>
                  <m:t xml:space="preserve">t</m:t>
                </m:r>
              </m:sub>
            </m:sSub>
            <m:r>
              <m:t xml:space="preserve">=</m:t>
            </m:r>
            <m:sSub>
              <m:e>
                <m:r>
                  <m:t xml:space="preserve">y</m:t>
                </m:r>
              </m:e>
              <m:sub>
                <m:r>
                  <m:t xml:space="preserve">t</m:t>
                </m:r>
              </m:sub>
            </m:sSub>
            <m:r>
              <m:t xml:space="preserve">−</m:t>
            </m:r>
            <m:r>
              <m:t xml:space="preserve">k</m:t>
            </m:r>
          </m:e>
          <m:e>
            <m:r>
              <m:t xml:space="preserve">κ</m:t>
            </m:r>
            <m:r>
              <m:t xml:space="preserve">+</m:t>
            </m:r>
            <m:sSub>
              <m:e>
                <m:r>
                  <m:rPr>
                    <m:lit/>
                    <m:nor/>
                  </m:rPr>
                  <m:t xml:space="preserve">σε</m:t>
                </m:r>
              </m:e>
              <m:sub>
                <m:r>
                  <m:t xml:space="preserve">t</m:t>
                </m:r>
              </m:sub>
            </m:sSub>
            <m:r>
              <m:t xml:space="preserve">−</m:t>
            </m:r>
            <m:r>
              <m:t xml:space="preserve">k</m:t>
            </m:r>
          </m:e>
          <m:e>
            <m:r>
              <m:t xml:space="preserve">σ</m:t>
            </m:r>
            <m:d>
              <m:dPr>
                <m:begChr m:val="("/>
                <m:endChr m:val=")"/>
              </m:dPr>
              <m:e>
                <m:sSub>
                  <m:e>
                    <m:r>
                      <m:t xml:space="preserve">ε</m:t>
                    </m:r>
                  </m:e>
                  <m:sub>
                    <m:r>
                      <m:t xml:space="preserve">t</m:t>
                    </m:r>
                  </m:sub>
                </m:sSub>
                <m:r>
                  <m:t xml:space="preserve">−</m:t>
                </m:r>
                <m:acc>
                  <m:accPr>
                    <m:chr m:val="¯"/>
                  </m:accPr>
                  <m:e>
                    <m:r>
                      <m:t xml:space="preserve">ε</m:t>
                    </m:r>
                  </m:e>
                </m:acc>
              </m:e>
            </m:d>
          </m:e>
        </m:eqArr>
      </m:oMath>
      <w:r>
        <w:rPr/>
        <w:tab/>
        <w:t>(3.25)</w:t>
      </w:r>
    </w:p>
    <w:p>
      <w:pPr>
        <w:pStyle w:val="Normal"/>
        <w:rPr>
          <w:color w:val="auto"/>
        </w:rPr>
      </w:pPr>
      <w:r>
        <w:rPr>
          <w:color w:val="auto"/>
        </w:rPr>
        <w:t>Squaring equation (3.25) gives</w:t>
      </w:r>
    </w:p>
    <w:p>
      <w:pPr>
        <w:pStyle w:val="Equation"/>
        <w:rPr/>
      </w:pPr>
      <w:r>
        <w:rPr>
          <w:i/>
        </w:rPr>
        <w:tab/>
      </w:r>
      <w:r>
        <w:rPr/>
      </w:r>
      <m:oMath xmlns:m="http://schemas.openxmlformats.org/officeDocument/2006/math">
        <m:eqArr>
          <m:e>
            <m:sSubSup>
              <m:e>
                <m:r>
                  <m:t xml:space="preserve">e</m:t>
                </m:r>
              </m:e>
              <m:sub>
                <m:r>
                  <m:t xml:space="preserve">t</m:t>
                </m:r>
              </m:sub>
              <m:sup>
                <m:r>
                  <m:t xml:space="preserve">2</m:t>
                </m:r>
              </m:sup>
            </m:sSubSup>
            <m:r>
              <m:t xml:space="preserve">=</m:t>
            </m:r>
            <m:sSup>
              <m:e>
                <m:r>
                  <m:t xml:space="preserve">σ</m:t>
                </m:r>
              </m:e>
              <m:sup>
                <m:r>
                  <m:t xml:space="preserve">2</m:t>
                </m:r>
              </m:sup>
            </m:sSup>
            <m:sSup>
              <m:e>
                <m:d>
                  <m:dPr>
                    <m:begChr m:val="("/>
                    <m:endChr m:val=")"/>
                  </m:dPr>
                  <m:e>
                    <m:sSub>
                      <m:e>
                        <m:r>
                          <m:t xml:space="preserve">ε</m:t>
                        </m:r>
                      </m:e>
                      <m:sub>
                        <m:r>
                          <m:t xml:space="preserve">t</m:t>
                        </m:r>
                      </m:sub>
                    </m:sSub>
                    <m:r>
                      <m:t xml:space="preserve">−</m:t>
                    </m:r>
                    <m:acc>
                      <m:accPr>
                        <m:chr m:val="¯"/>
                      </m:accPr>
                      <m:e>
                        <m:r>
                          <m:t xml:space="preserve">ε</m:t>
                        </m:r>
                      </m:e>
                    </m:acc>
                  </m:e>
                </m:d>
              </m:e>
              <m:sup>
                <m:r>
                  <m:t xml:space="preserve">2</m:t>
                </m:r>
              </m:sup>
            </m:sSup>
          </m:e>
          <m:e>
            <m:sSup>
              <m:e>
                <m:r>
                  <m:t xml:space="preserve">σ</m:t>
                </m:r>
              </m:e>
              <m:sup>
                <m:r>
                  <m:t xml:space="preserve">2</m:t>
                </m:r>
              </m:sup>
            </m:sSup>
            <m:d>
              <m:dPr>
                <m:begChr m:val="("/>
                <m:endChr m:val=")"/>
              </m:dPr>
              <m:e>
                <m:sSubSup>
                  <m:e>
                    <m:r>
                      <m:t xml:space="preserve">ε</m:t>
                    </m:r>
                  </m:e>
                  <m:sub>
                    <m:r>
                      <m:t xml:space="preserve">t</m:t>
                    </m:r>
                  </m:sub>
                  <m:sup>
                    <m:r>
                      <m:t xml:space="preserve">2</m:t>
                    </m:r>
                  </m:sup>
                </m:sSubSup>
                <m:r>
                  <m:t xml:space="preserve">−</m:t>
                </m:r>
                <m:r>
                  <m:t xml:space="preserve">2</m:t>
                </m:r>
                <m:sSub>
                  <m:e>
                    <m:r>
                      <m:t xml:space="preserve">ε</m:t>
                    </m:r>
                  </m:e>
                  <m:sub>
                    <m:r>
                      <m:t xml:space="preserve">t</m:t>
                    </m:r>
                  </m:sub>
                </m:sSub>
                <m:acc>
                  <m:accPr>
                    <m:chr m:val="¯"/>
                  </m:accPr>
                  <m:e>
                    <m:r>
                      <m:t xml:space="preserve">ε</m:t>
                    </m:r>
                  </m:e>
                </m:acc>
                <m:r>
                  <m:t xml:space="preserve">+</m:t>
                </m:r>
                <m:sSup>
                  <m:e>
                    <m:acc>
                      <m:accPr>
                        <m:chr m:val="¯"/>
                      </m:accPr>
                      <m:e>
                        <m:r>
                          <m:t xml:space="preserve">ε</m:t>
                        </m:r>
                      </m:e>
                    </m:acc>
                  </m:e>
                  <m:sup>
                    <m:r>
                      <m:t xml:space="preserve">2</m:t>
                    </m:r>
                  </m:sup>
                </m:sSup>
              </m:e>
            </m:d>
          </m:e>
        </m:eqArr>
      </m:oMath>
      <w:r>
        <w:rPr/>
        <w:tab/>
        <w:t>(3.26)</w:t>
      </w:r>
    </w:p>
    <w:p>
      <w:pPr>
        <w:pStyle w:val="Normal"/>
        <w:rPr>
          <w:color w:val="auto"/>
        </w:rPr>
      </w:pPr>
      <w:r>
        <w:rPr>
          <w:color w:val="auto"/>
        </w:rPr>
        <w:t>which, when summed over all N observations, yields;</w:t>
      </w:r>
    </w:p>
    <w:p>
      <w:pPr>
        <w:pStyle w:val="Header"/>
        <w:tabs>
          <w:tab w:val="clear" w:pos="4320"/>
          <w:tab w:val="clear" w:pos="8640"/>
        </w:tabs>
        <w:rPr>
          <w:color w:val="auto"/>
        </w:rPr>
      </w:pPr>
      <w:r>
        <w:rPr>
          <w:color w:val="auto"/>
        </w:rPr>
      </w:r>
    </w:p>
    <w:p>
      <w:pPr>
        <w:pStyle w:val="Equation"/>
        <w:rPr/>
      </w:pPr>
      <w:r>
        <w:rPr>
          <w:i/>
        </w:rPr>
        <w:tab/>
      </w:r>
      <w:r>
        <w:rPr/>
      </w:r>
      <m:oMath xmlns:m="http://schemas.openxmlformats.org/officeDocument/2006/math">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r>
          <m:t xml:space="preserve">=</m:t>
        </m:r>
        <m:sSup>
          <m:e>
            <m:r>
              <m:t xml:space="preserve">σ</m:t>
            </m:r>
          </m:e>
          <m:sup>
            <m:r>
              <m:t xml:space="preserve">2</m:t>
            </m:r>
          </m:sup>
        </m:sSup>
        <m:d>
          <m:dPr>
            <m:begChr m:val="("/>
            <m:endChr m:val=")"/>
          </m:dPr>
          <m:e>
            <m:nary>
              <m:naryPr>
                <m:chr m:val="∑"/>
              </m:naryPr>
              <m:sub>
                <m:r>
                  <m:t xml:space="preserve">t</m:t>
                </m:r>
                <m:r>
                  <m:t xml:space="preserve">=</m:t>
                </m:r>
                <m:r>
                  <m:t xml:space="preserve">1</m:t>
                </m:r>
              </m:sub>
              <m:sup>
                <m:r>
                  <m:t xml:space="preserve">N</m:t>
                </m:r>
              </m:sup>
              <m:e>
                <m:sSubSup>
                  <m:e>
                    <m:r>
                      <m:t xml:space="preserve">ε</m:t>
                    </m:r>
                  </m:e>
                  <m:sub>
                    <m:r>
                      <m:t xml:space="preserve">t</m:t>
                    </m:r>
                  </m:sub>
                  <m:sup>
                    <m:r>
                      <m:t xml:space="preserve">2</m:t>
                    </m:r>
                  </m:sup>
                </m:sSubSup>
              </m:e>
            </m:nary>
            <m:r>
              <m:t xml:space="preserve">−</m:t>
            </m:r>
            <m:r>
              <m:t xml:space="preserve">N</m:t>
            </m:r>
            <m:sSup>
              <m:e>
                <m:acc>
                  <m:accPr>
                    <m:chr m:val="¯"/>
                  </m:accPr>
                  <m:e>
                    <m:r>
                      <m:t xml:space="preserve">ε</m:t>
                    </m:r>
                  </m:e>
                </m:acc>
              </m:e>
              <m:sup>
                <m:r>
                  <m:t xml:space="preserve">2</m:t>
                </m:r>
              </m:sup>
            </m:sSup>
          </m:e>
        </m:d>
      </m:oMath>
      <w:r>
        <w:rPr/>
        <w:tab/>
        <w:t>(3.27)</w:t>
      </w:r>
    </w:p>
    <w:p>
      <w:pPr>
        <w:pStyle w:val="Normal"/>
        <w:rPr/>
      </w:pPr>
      <w:r>
        <w:rPr>
          <w:color w:val="auto"/>
        </w:rPr>
        <w:t>Now the random variables</w:t>
      </w:r>
      <w:r>
        <w:rPr>
          <w:color w:val="auto"/>
        </w:rPr>
      </w:r>
      <m:oMath xmlns:m="http://schemas.openxmlformats.org/officeDocument/2006/math">
        <m:sSub>
          <m:e>
            <m:r>
              <m:t xml:space="preserve">ε</m:t>
            </m:r>
          </m:e>
          <m:sub>
            <m:r>
              <m:t xml:space="preserve">t</m:t>
            </m:r>
          </m:sub>
        </m:sSub>
      </m:oMath>
      <w:r>
        <w:rPr>
          <w:color w:val="auto"/>
        </w:rPr>
        <w:t xml:space="preserve">are distributed normally as </w:t>
      </w:r>
      <w:r>
        <w:rPr>
          <w:i/>
          <w:color w:val="auto"/>
        </w:rPr>
        <w:t>N</w:t>
      </w:r>
      <w:r>
        <w:rPr>
          <w:color w:val="auto"/>
        </w:rPr>
        <w:t xml:space="preserve">(0,1) and are independent, which implies that </w:t>
      </w:r>
      <w:r>
        <w:rPr>
          <w:color w:val="auto"/>
        </w:rPr>
      </w:r>
      <m:oMath xmlns:m="http://schemas.openxmlformats.org/officeDocument/2006/math">
        <m:r>
          <m:t xml:space="preserve">E</m:t>
        </m:r>
        <m:d>
          <m:dPr>
            <m:begChr m:val="("/>
            <m:endChr m:val=")"/>
          </m:dPr>
          <m:e>
            <m:sSub>
              <m:e>
                <m:r>
                  <m:t xml:space="preserve">ε</m:t>
                </m:r>
              </m:e>
              <m:sub>
                <m:r>
                  <m:t xml:space="preserve">i</m:t>
                </m:r>
              </m:sub>
            </m:sSub>
            <m:sSub>
              <m:e>
                <m:r>
                  <m:t xml:space="preserve">ε</m:t>
                </m:r>
              </m:e>
              <m:sub>
                <m:r>
                  <m:t xml:space="preserve">j</m:t>
                </m:r>
              </m:sub>
            </m:sSub>
          </m:e>
        </m:d>
        <m:r>
          <m:t xml:space="preserve">=</m:t>
        </m:r>
        <m:sSub>
          <m:e>
            <m:r>
              <m:t xml:space="preserve">δ</m:t>
            </m:r>
          </m:e>
          <m:sub>
            <m:r>
              <m:rPr>
                <m:lit/>
                <m:nor/>
              </m:rPr>
              <m:t xml:space="preserve">ij</m:t>
            </m:r>
          </m:sub>
        </m:sSub>
      </m:oMath>
      <w:r>
        <w:rPr>
          <w:color w:val="auto"/>
        </w:rPr>
        <w:t>.  Therefore, we arr</w:t>
      </w:r>
      <w:bookmarkStart w:id="16" w:name="_Ref486089944"/>
      <w:r>
        <w:rPr>
          <w:color w:val="auto"/>
        </w:rPr>
        <w:t>ive finally at</w:t>
      </w:r>
    </w:p>
    <w:p>
      <w:pPr>
        <w:pStyle w:val="Equation"/>
        <w:rPr/>
      </w:pPr>
      <w:bookmarkEnd w:id="16"/>
      <w:r>
        <w:rPr>
          <w:i/>
          <w:color w:val="auto"/>
        </w:rPr>
        <w:tab/>
      </w:r>
      <w:r>
        <w:rPr>
          <w:color w:val="auto"/>
        </w:rPr>
      </w:r>
      <m:oMath xmlns:m="http://schemas.openxmlformats.org/officeDocument/2006/math">
        <m:eqAr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r>
              <m:t xml:space="preserve">=</m:t>
            </m:r>
            <m:sSup>
              <m:e>
                <m:r>
                  <m:t xml:space="preserve">σ</m:t>
                </m:r>
              </m:e>
              <m:sup>
                <m:r>
                  <m:t xml:space="preserve">2</m:t>
                </m:r>
              </m:sup>
            </m:sSup>
            <m:d>
              <m:dPr>
                <m:begChr m:val="("/>
                <m:endChr m:val=")"/>
              </m:dPr>
              <m:e>
                <m:r>
                  <m:t xml:space="preserve">N</m:t>
                </m:r>
                <m:r>
                  <m:t xml:space="preserve">−</m:t>
                </m:r>
                <m:r>
                  <m:t xml:space="preserve">1</m:t>
                </m:r>
              </m:e>
            </m:d>
          </m:e>
          <m:e>
            <m:r>
              <m:t xml:space="preserve">σ</m:t>
            </m:r>
            <m:r>
              <m:t xml:space="preserve">=</m:t>
            </m:r>
            <m:rad>
              <m:radPr>
                <m:degHide m:val="1"/>
              </m:radPr>
              <m:deg/>
              <m:e>
                <m:f>
                  <m:num>
                    <m:r>
                      <m:t xml:space="preserve">1</m:t>
                    </m:r>
                  </m:num>
                  <m:den>
                    <m:r>
                      <m:t xml:space="preserve">N</m:t>
                    </m:r>
                    <m:r>
                      <m:t xml:space="preserve">−</m:t>
                    </m:r>
                    <m:r>
                      <m:t xml:space="preserve">1</m:t>
                    </m:r>
                  </m:den>
                </m:f>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e>
            </m:rad>
          </m:e>
        </m:eqArr>
      </m:oMath>
      <w:r>
        <w:rPr>
          <w:color w:val="auto"/>
        </w:rPr>
        <w:tab/>
        <w:t>(3.28)</w:t>
      </w:r>
    </w:p>
    <w:p>
      <w:pPr>
        <w:pStyle w:val="Normal"/>
        <w:rPr>
          <w:color w:val="auto"/>
        </w:rPr>
      </w:pPr>
      <w:r>
        <w:rPr>
          <w:color w:val="auto"/>
        </w:rPr>
      </w:r>
    </w:p>
    <w:p>
      <w:pPr>
        <w:pStyle w:val="Normal"/>
        <w:rPr/>
      </w:pPr>
      <w:r>
        <w:rPr>
          <w:color w:val="auto"/>
        </w:rPr>
        <w:t xml:space="preserve">which, of course, is the common definition for standard deviation.  If the stochastic equation (3.19) had </w:t>
      </w:r>
      <w:r>
        <w:rPr>
          <w:i/>
          <w:color w:val="auto"/>
        </w:rPr>
        <w:t>p</w:t>
      </w:r>
      <w:r>
        <w:rPr>
          <w:color w:val="auto"/>
        </w:rPr>
        <w:t xml:space="preserve"> parameters rather than just one, it can be shown through a similar analysis that the OLS estimate for </w:t>
      </w:r>
      <w:r>
        <w:rPr>
          <w:rFonts w:eastAsia="Symbol" w:cs="Symbol" w:ascii="Symbol" w:hAnsi="Symbol"/>
          <w:color w:val="auto"/>
        </w:rPr>
        <w:sym w:font="Symbol" w:char="f073"/>
      </w:r>
      <w:r>
        <w:rPr>
          <w:color w:val="auto"/>
        </w:rPr>
        <w:t xml:space="preserve"> in this case would be equation (3.28) with the denominator </w:t>
      </w:r>
      <w:r>
        <w:rPr>
          <w:i/>
          <w:color w:val="auto"/>
        </w:rPr>
        <w:t>N</w:t>
      </w:r>
      <w:r>
        <w:rPr>
          <w:color w:val="auto"/>
        </w:rPr>
        <w:t xml:space="preserve"> - 1 replaced by </w:t>
      </w:r>
      <w:r>
        <w:rPr>
          <w:i/>
          <w:color w:val="auto"/>
        </w:rPr>
        <w:t>N</w:t>
      </w:r>
      <w:r>
        <w:rPr>
          <w:color w:val="auto"/>
        </w:rPr>
        <w:t xml:space="preserve"> - </w:t>
      </w:r>
      <w:r>
        <w:rPr>
          <w:i/>
          <w:color w:val="auto"/>
        </w:rPr>
        <w:t>p</w:t>
      </w:r>
      <w:r>
        <w:rPr>
          <w:color w:val="auto"/>
        </w:rPr>
        <w:t xml:space="preserve"> as expected.</w:t>
      </w:r>
    </w:p>
    <w:p>
      <w:pPr>
        <w:pStyle w:val="Header"/>
        <w:tabs>
          <w:tab w:val="clear" w:pos="4320"/>
          <w:tab w:val="clear" w:pos="8640"/>
        </w:tabs>
        <w:rPr>
          <w:color w:val="auto"/>
        </w:rPr>
      </w:pPr>
      <w:r>
        <w:rPr>
          <w:color w:val="auto"/>
        </w:rPr>
      </w:r>
    </w:p>
    <w:p>
      <w:pPr>
        <w:pStyle w:val="Normal"/>
        <w:rPr>
          <w:color w:val="auto"/>
        </w:rPr>
      </w:pPr>
      <w:r>
        <w:rPr>
          <w:color w:val="auto"/>
        </w:rPr>
        <w:t>OLS estimators have the desirable properties of unbiasedness, consistency, and efficiency for a variety of problems. However, in the case of heteroskedastic systems, OLS estimators are not generally efficient, therefore other methods are often employed to provide estimates.</w:t>
      </w:r>
    </w:p>
    <w:p>
      <w:pPr>
        <w:pStyle w:val="Normal"/>
        <w:rPr>
          <w:color w:val="auto"/>
        </w:rPr>
      </w:pPr>
      <w:r>
        <w:rPr>
          <w:color w:val="auto"/>
        </w:rPr>
      </w:r>
    </w:p>
    <w:p>
      <w:pPr>
        <w:pStyle w:val="Heading3"/>
        <w:ind w:hanging="0" w:start="0"/>
        <w:rPr>
          <w:color w:val="auto"/>
        </w:rPr>
      </w:pPr>
      <w:r>
        <w:rPr>
          <w:color w:val="auto"/>
        </w:rPr>
        <w:t>3.4.3</w:t>
        <w:tab/>
        <w:t>Maximum Likelihood</w:t>
      </w:r>
    </w:p>
    <w:p>
      <w:pPr>
        <w:pStyle w:val="Normal"/>
        <w:rPr>
          <w:color w:val="auto"/>
        </w:rPr>
      </w:pPr>
      <w:r>
        <w:rPr>
          <w:color w:val="auto"/>
        </w:rPr>
      </w:r>
    </w:p>
    <w:p>
      <w:pPr>
        <w:pStyle w:val="Normal"/>
        <w:rPr>
          <w:color w:val="auto"/>
        </w:rPr>
      </w:pPr>
      <w:r>
        <w:rPr>
          <w:color w:val="auto"/>
        </w:rPr>
        <w:t xml:space="preserve">We introduced maximum likelihood in section 2.11 as a powerful and general estimation method.  In this section, we elaborate on the principle underlying the method by again using the example of the pure diffusion process represented by equation (3.13). </w:t>
      </w:r>
    </w:p>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m:oMathPara>
    </w:p>
    <w:p>
      <w:pPr>
        <w:pStyle w:val="Normal"/>
        <w:rPr>
          <w:color w:val="auto"/>
        </w:rPr>
      </w:pPr>
      <w:r>
        <w:rPr>
          <w:color w:val="auto"/>
        </w:rPr>
        <w:t>Recall that</w:t>
      </w:r>
      <w:r>
        <w:rPr>
          <w:color w:val="auto"/>
        </w:rPr>
      </w:r>
      <m:oMath xmlns:m="http://schemas.openxmlformats.org/officeDocument/2006/math">
        <m:sSub>
          <m:e>
            <m:r>
              <m:t xml:space="preserve">ε</m:t>
            </m:r>
          </m:e>
          <m:sub>
            <m:r>
              <m:t xml:space="preserve">t</m:t>
            </m:r>
          </m:sub>
        </m:sSub>
      </m:oMath>
      <w:r>
        <w:rPr>
          <w:color w:val="auto"/>
        </w:rPr>
        <w:t xml:space="preserve"> is distributed as N(0,1), which implies that </w:t>
      </w:r>
      <w:r>
        <w:rPr>
          <w:color w:val="auto"/>
        </w:rPr>
      </w:r>
      <m:oMath xmlns:m="http://schemas.openxmlformats.org/officeDocument/2006/math">
        <m:sSub>
          <m:e>
            <m:r>
              <m:t xml:space="preserve">y</m:t>
            </m:r>
          </m:e>
          <m:sub>
            <m:r>
              <m:t xml:space="preserve">t</m:t>
            </m:r>
          </m:sub>
        </m:sSub>
      </m:oMath>
      <w:r>
        <w:rPr>
          <w:color w:val="auto"/>
        </w:rPr>
        <w:t xml:space="preserve"> is distributed as N(</w:t>
      </w:r>
      <w:r>
        <w:rPr>
          <w:color w:val="auto"/>
        </w:rPr>
      </w:r>
      <m:oMath xmlns:m="http://schemas.openxmlformats.org/officeDocument/2006/math">
        <m:r>
          <m:t xml:space="preserve">κ</m:t>
        </m:r>
        <m:r>
          <m:t xml:space="preserve">,</m:t>
        </m:r>
        <m:r>
          <m:t xml:space="preserve">σ</m:t>
        </m:r>
      </m:oMath>
      <w:r>
        <w:rPr>
          <w:color w:val="auto"/>
        </w:rPr>
        <w:t xml:space="preserve">). The probability density function for each </w:t>
      </w:r>
      <w:r>
        <w:rPr>
          <w:color w:val="auto"/>
        </w:rPr>
      </w:r>
      <m:oMath xmlns:m="http://schemas.openxmlformats.org/officeDocument/2006/math">
        <m:sSub>
          <m:e>
            <m:r>
              <m:t xml:space="preserve">y</m:t>
            </m:r>
          </m:e>
          <m:sub>
            <m:r>
              <m:t xml:space="preserve">t</m:t>
            </m:r>
          </m:sub>
        </m:sSub>
      </m:oMath>
      <w:r>
        <w:rPr>
          <w:color w:val="auto"/>
        </w:rPr>
        <w:t xml:space="preserve"> is then,</w:t>
      </w:r>
    </w:p>
    <w:p>
      <w:pPr>
        <w:pStyle w:val="Equation"/>
        <w:rPr/>
      </w:pPr>
      <w:r>
        <w:rPr>
          <w:i/>
          <w:color w:val="auto"/>
        </w:rPr>
        <w:tab/>
      </w:r>
      <w:r>
        <w:rPr>
          <w:color w:val="auto"/>
        </w:rPr>
      </w:r>
      <m:oMath xmlns:m="http://schemas.openxmlformats.org/officeDocument/2006/math">
        <m:r>
          <m:t xml:space="preserve">p</m:t>
        </m:r>
        <m:d>
          <m:dPr>
            <m:begChr m:val="("/>
            <m:endChr m:val=")"/>
          </m:dPr>
          <m:e>
            <m:sSub>
              <m:e>
                <m:r>
                  <m:t xml:space="preserve">y</m:t>
                </m:r>
              </m:e>
              <m:sub>
                <m:r>
                  <m:t xml:space="preserve">t</m:t>
                </m:r>
              </m:sub>
            </m:sSub>
            <m:r>
              <m:t xml:space="preserve">;</m:t>
            </m:r>
            <m:r>
              <m:t xml:space="preserve">κ</m:t>
            </m:r>
            <m:r>
              <m:t xml:space="preserve">,</m:t>
            </m:r>
            <m:r>
              <m:t xml:space="preserve">σ</m:t>
            </m:r>
          </m:e>
        </m:d>
        <m:r>
          <m:t xml:space="preserve">=</m:t>
        </m:r>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oMath>
      <w:r>
        <w:rPr>
          <w:color w:val="auto"/>
        </w:rPr>
        <w:tab/>
        <w:t>(3.29)</w:t>
      </w:r>
    </w:p>
    <w:p>
      <w:pPr>
        <w:pStyle w:val="Normal"/>
        <w:rPr>
          <w:color w:val="auto"/>
        </w:rPr>
      </w:pPr>
      <w:r>
        <w:rPr>
          <w:color w:val="auto"/>
        </w:rPr>
        <w:t xml:space="preserve">Now, every </w:t>
      </w:r>
      <w:r>
        <w:rPr>
          <w:color w:val="auto"/>
        </w:rPr>
      </w:r>
      <m:oMath xmlns:m="http://schemas.openxmlformats.org/officeDocument/2006/math">
        <m:sSub>
          <m:e>
            <m:r>
              <m:t xml:space="preserve">y</m:t>
            </m:r>
          </m:e>
          <m:sub>
            <m:r>
              <m:t xml:space="preserve">t</m:t>
            </m:r>
          </m:sub>
        </m:sSub>
      </m:oMath>
      <w:r>
        <w:rPr>
          <w:color w:val="auto"/>
        </w:rPr>
        <w:t xml:space="preserve"> corresponds to an independent observation, so we can write the joint distribution for a set of, say N, observations as,</w:t>
      </w:r>
    </w:p>
    <w:p>
      <w:pPr>
        <w:pStyle w:val="Equation"/>
        <w:rPr/>
      </w:pPr>
      <w:r>
        <w:rPr>
          <w:i/>
          <w:color w:val="auto"/>
        </w:rPr>
        <w:tab/>
      </w:r>
      <w:r>
        <w:rPr>
          <w:color w:val="auto"/>
        </w:rPr>
      </w:r>
      <m:oMath xmlns:m="http://schemas.openxmlformats.org/officeDocument/2006/math">
        <m:r>
          <m:t xml:space="preserve">p</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nary>
          <m:naryPr>
            <m:chr m:val="∏"/>
          </m:naryPr>
          <m:sub>
            <m:r>
              <m:t xml:space="preserve">t</m:t>
            </m:r>
            <m:r>
              <m:t xml:space="preserve">=</m:t>
            </m:r>
            <m:r>
              <m:t xml:space="preserve">1</m:t>
            </m:r>
          </m:sub>
          <m:sup>
            <m:r>
              <m:t xml:space="preserve">N</m:t>
            </m:r>
          </m:sup>
          <m:e>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e>
        </m:nary>
      </m:oMath>
      <w:r>
        <w:rPr>
          <w:color w:val="auto"/>
        </w:rPr>
        <w:tab/>
        <w:t>(3.30)</w:t>
      </w:r>
    </w:p>
    <w:p>
      <w:pPr>
        <w:pStyle w:val="Normal"/>
        <w:rPr>
          <w:color w:val="auto"/>
        </w:rPr>
      </w:pPr>
      <w:r>
        <w:rPr>
          <w:color w:val="auto"/>
        </w:rPr>
      </w:r>
    </w:p>
    <w:p>
      <w:pPr>
        <w:pStyle w:val="Normal"/>
        <w:rPr>
          <w:color w:val="auto"/>
        </w:rPr>
      </w:pPr>
      <w:r>
        <w:rPr>
          <w:color w:val="auto"/>
        </w:rPr>
        <w:t>We can think of this function as representing the probability or likelihood that we would draw exactly this set of numbers.  For this reason, the joint density is typically called the likelihood function and is written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L</m:t>
        </m:r>
        <m:d>
          <m:dPr>
            <m:begChr m:val="("/>
            <m:endChr m:val=")"/>
          </m:dPr>
          <m:e>
            <m:r>
              <m:t xml:space="preserve">Θ</m:t>
            </m:r>
            <m:r>
              <m:t xml:space="preserve">;</m:t>
            </m:r>
            <m:d>
              <m:dPr>
                <m:begChr m:val="{"/>
                <m:endChr m:val="}"/>
              </m:dPr>
              <m:e>
                <m:sSub>
                  <m:e>
                    <m:r>
                      <m:t xml:space="preserve">y</m:t>
                    </m:r>
                  </m:e>
                  <m:sub>
                    <m:r>
                      <m:t xml:space="preserve">t</m:t>
                    </m:r>
                  </m:sub>
                </m:sSub>
              </m:e>
            </m:d>
          </m:e>
        </m:d>
        <m:r>
          <m:t xml:space="preserve">=</m:t>
        </m:r>
        <m:r>
          <m:t xml:space="preserve">p</m:t>
        </m:r>
        <m:d>
          <m:dPr>
            <m:begChr m:val="("/>
            <m:endChr m:val=")"/>
          </m:dPr>
          <m:e>
            <m:d>
              <m:dPr>
                <m:begChr m:val="{"/>
                <m:endChr m:val="}"/>
              </m:dPr>
              <m:e>
                <m:sSub>
                  <m:e>
                    <m:r>
                      <m:t xml:space="preserve">y</m:t>
                    </m:r>
                  </m:e>
                  <m:sub>
                    <m:r>
                      <m:t xml:space="preserve">t</m:t>
                    </m:r>
                  </m:sub>
                </m:sSub>
              </m:e>
            </m:d>
            <m:r>
              <m:t xml:space="preserve">;</m:t>
            </m:r>
            <m:r>
              <m:t xml:space="preserve">Θ</m:t>
            </m:r>
          </m:e>
        </m:d>
      </m:oMath>
      <w:r>
        <w:rPr>
          <w:color w:val="auto"/>
        </w:rPr>
        <w:tab/>
        <w:t>(3.31)</w:t>
      </w:r>
    </w:p>
    <w:p>
      <w:pPr>
        <w:pStyle w:val="Normal"/>
        <w:rPr>
          <w:color w:val="auto"/>
        </w:rPr>
      </w:pPr>
      <w:r>
        <w:rPr>
          <w:color w:val="auto"/>
        </w:rPr>
        <w:t>emphasising that its value, given a set {y</w:t>
      </w:r>
      <w:r>
        <w:rPr>
          <w:i/>
          <w:color w:val="auto"/>
          <w:vertAlign w:val="subscript"/>
        </w:rPr>
        <w:t>t</w:t>
      </w:r>
      <w:r>
        <w:rPr>
          <w:color w:val="auto"/>
        </w:rPr>
        <w:t xml:space="preserve">} of observations, is a function of the distribution’s parameter set </w:t>
      </w:r>
      <w:r>
        <w:rPr>
          <w:rFonts w:eastAsia="Symbol" w:cs="Symbol" w:ascii="Symbol" w:hAnsi="Symbol"/>
          <w:color w:val="auto"/>
        </w:rPr>
        <w:sym w:font="Symbol" w:char="f051"/>
      </w:r>
      <w:r>
        <w:rPr>
          <w:color w:val="auto"/>
        </w:rPr>
        <w:t xml:space="preserve">.  With this definition, we can now turn the process around.  We now hypothesise that this set of numbers is drawn from a normal distribution of unknown mean and variance and ask the following question.  From what distribution is it most likely that these numbers were drawn, or, put another way, which values of </w:t>
      </w:r>
      <w:r>
        <w:rPr>
          <w:rFonts w:eastAsia="Symbol" w:cs="Symbol" w:ascii="Symbol" w:hAnsi="Symbol"/>
          <w:color w:val="auto"/>
        </w:rPr>
        <w:sym w:font="Symbol" w:char="f06b"/>
      </w:r>
      <w:r>
        <w:rPr>
          <w:color w:val="auto"/>
        </w:rPr>
        <w:t xml:space="preserve"> and </w:t>
      </w:r>
      <w:r>
        <w:rPr>
          <w:rFonts w:eastAsia="Symbol" w:cs="Symbol" w:ascii="Symbol" w:hAnsi="Symbol"/>
          <w:color w:val="auto"/>
        </w:rPr>
        <w:sym w:font="Symbol" w:char="f073"/>
      </w:r>
      <w:r>
        <w:rPr>
          <w:color w:val="auto"/>
          <w:vertAlign w:val="superscript"/>
        </w:rPr>
        <w:t>2</w:t>
      </w:r>
      <w:r>
        <w:rPr>
          <w:color w:val="auto"/>
        </w:rPr>
        <w:t xml:space="preserve"> define the distribution that has the maximum likelihood of producing this set of numbers?  The answer is found by maximising the likelihood function with respect to the model parameters. This is accomplished in the usual way by setting the gradient with respect to the regression parameters equal to zero and solving for the parameter value.   In the case of equation (3.30</w:t>
      </w:r>
      <w:bookmarkStart w:id="17" w:name="_Ref486090586"/>
      <w:r>
        <w:rPr>
          <w:color w:val="auto"/>
        </w:rPr>
        <w:t>) he maximising equations are</w:t>
      </w:r>
    </w:p>
    <w:p>
      <w:pPr>
        <w:pStyle w:val="Equation"/>
        <w:rPr/>
      </w:pPr>
      <w:r>
        <w:rPr/>
        <w:tab/>
      </w:r>
      <w:r>
        <w:rPr/>
      </w:r>
      <m:oMath xmlns:m="http://schemas.openxmlformats.org/officeDocument/2006/math">
        <m:r>
          <m:rPr>
            <m:lit/>
            <m:nor/>
          </m:rPr>
          <m:t xml:space="preserve">ln</m:t>
        </m:r>
        <m:r>
          <m:t xml:space="preserve">L</m:t>
        </m:r>
        <m:d>
          <m:dPr>
            <m:begChr m:val="("/>
            <m:endChr m:val=")"/>
          </m:dPr>
          <m:e>
            <m:r>
              <m:t xml:space="preserve">κ</m:t>
            </m:r>
            <m:r>
              <m:t xml:space="preserve">,</m:t>
            </m:r>
            <m:r>
              <m:t xml:space="preserve">σ</m:t>
            </m:r>
            <m:r>
              <m:t xml:space="preserve">;</m:t>
            </m:r>
            <m:d>
              <m:dPr>
                <m:begChr m:val="{"/>
                <m:endChr m:val="}"/>
              </m:dPr>
              <m:e>
                <m:sSub>
                  <m:e>
                    <m:r>
                      <m:t xml:space="preserve">y</m:t>
                    </m:r>
                  </m:e>
                  <m:sub>
                    <m:r>
                      <m:t xml:space="preserve">t</m:t>
                    </m:r>
                  </m:sub>
                </m:sSub>
              </m:e>
            </m:d>
          </m:e>
        </m:d>
        <m:r>
          <m:t xml:space="preserve">=</m:t>
        </m:r>
        <m:r>
          <m:t xml:space="preserve">−</m:t>
        </m:r>
        <m:f>
          <m:num>
            <m:r>
              <m:t xml:space="preserve">N</m:t>
            </m:r>
          </m:num>
          <m:den>
            <m:r>
              <m:t xml:space="preserve">2</m:t>
            </m:r>
          </m:den>
        </m:f>
        <m:r>
          <m:rPr>
            <m:lit/>
            <m:nor/>
          </m:rPr>
          <m:t xml:space="preserve">ln</m:t>
        </m:r>
        <m:r>
          <m:t xml:space="preserve">(</m:t>
        </m:r>
        <m:r>
          <m:t xml:space="preserve">2</m:t>
        </m:r>
        <m:r>
          <m:t xml:space="preserve">π</m:t>
        </m:r>
        <m:r>
          <m:t xml:space="preserve">)</m:t>
        </m:r>
        <m:r>
          <m:t xml:space="preserve">−</m:t>
        </m:r>
        <m:f>
          <m:num>
            <m:r>
              <m:t xml:space="preserve">N</m:t>
            </m:r>
          </m:num>
          <m:den>
            <m:r>
              <m:t xml:space="preserve">2</m:t>
            </m:r>
          </m:den>
        </m:f>
        <m:r>
          <m:rPr>
            <m:lit/>
            <m:nor/>
          </m:rPr>
          <m:t xml:space="preserve">ln</m:t>
        </m:r>
        <m:sSup>
          <m:e>
            <m:r>
              <m:t xml:space="preserve">σ</m:t>
            </m:r>
          </m:e>
          <m:sup>
            <m:r>
              <m:t xml:space="preserve">2</m:t>
            </m:r>
          </m:sup>
        </m:sSup>
        <m:r>
          <m:t xml:space="preserve">−</m:t>
        </m:r>
        <m:f>
          <m:num>
            <m:r>
              <m:t xml:space="preserve">1</m:t>
            </m:r>
          </m:num>
          <m:den>
            <m:r>
              <m:t xml:space="preserve">2</m:t>
            </m:r>
          </m:den>
        </m:f>
        <m:nary>
          <m:naryPr>
            <m:chr m:val="∑"/>
          </m:naryPr>
          <m:sub>
            <m:r>
              <m:t xml:space="preserve">t</m:t>
            </m:r>
            <m:r>
              <m:t xml:space="preserve">=</m:t>
            </m:r>
            <m:r>
              <m:t xml:space="preserve">1</m:t>
            </m:r>
          </m:sub>
          <m:sup>
            <m:r>
              <m:t xml:space="preserve">N</m:t>
            </m:r>
          </m:sup>
          <m:e>
            <m:d>
              <m:dPr>
                <m:begChr m:val="["/>
                <m:endChr m:val="]"/>
              </m:dPr>
              <m:e>
                <m:f>
                  <m:num>
                    <m:sSup>
                      <m:e>
                        <m:d>
                          <m:dPr>
                            <m:begChr m:val="("/>
                            <m:endChr m:val=")"/>
                          </m:dPr>
                          <m:e>
                            <m:sSub>
                              <m:e>
                                <m:r>
                                  <m:t xml:space="preserve">y</m:t>
                                </m:r>
                              </m:e>
                              <m:sub>
                                <m:r>
                                  <m:t xml:space="preserve">t</m:t>
                                </m:r>
                              </m:sub>
                            </m:sSub>
                            <m:r>
                              <m:t xml:space="preserve">−</m:t>
                            </m:r>
                            <m:r>
                              <m:t xml:space="preserve">κ</m:t>
                            </m:r>
                          </m:e>
                        </m:d>
                      </m:e>
                      <m:sup>
                        <m:r>
                          <m:t xml:space="preserve">2</m:t>
                        </m:r>
                      </m:sup>
                    </m:sSup>
                  </m:num>
                  <m:den>
                    <m:sSup>
                      <m:e>
                        <m:r>
                          <m:t xml:space="preserve">σ</m:t>
                        </m:r>
                      </m:e>
                      <m:sup>
                        <m:r>
                          <m:t xml:space="preserve">2</m:t>
                        </m:r>
                      </m:sup>
                    </m:sSup>
                  </m:den>
                </m:f>
              </m:e>
            </m:d>
          </m:e>
        </m:nary>
      </m:oMath>
      <w:r>
        <w:rPr/>
        <w:tab/>
        <w:t>(3.32a)</w:t>
      </w:r>
    </w:p>
    <w:p>
      <w:pPr>
        <w:pStyle w:val="Equation"/>
        <w:rPr>
          <w:color w:val="auto"/>
        </w:rPr>
      </w:pPr>
      <w:r>
        <w:rPr/>
        <w:tab/>
      </w:r>
      <w:r>
        <w:rPr/>
      </w:r>
      <m:oMath xmlns:m="http://schemas.openxmlformats.org/officeDocument/2006/math">
        <m:f>
          <m:num>
            <m:r>
              <m:t xml:space="preserve">∂</m:t>
            </m:r>
            <m:r>
              <m:rPr>
                <m:lit/>
                <m:nor/>
              </m:rPr>
              <m:t xml:space="preserve">ln</m:t>
            </m:r>
            <m:d>
              <m:dPr>
                <m:begChr m:val="("/>
                <m:endChr m:val=")"/>
              </m:dPr>
              <m:e>
                <m:r>
                  <m:t xml:space="preserve">L</m:t>
                </m:r>
                <m:d>
                  <m:dPr>
                    <m:begChr m:val="("/>
                    <m:endChr m:val=")"/>
                  </m:dPr>
                  <m:e>
                    <m:r>
                      <m:t xml:space="preserve">κ</m:t>
                    </m:r>
                    <m:r>
                      <m:t xml:space="preserve">,</m:t>
                    </m:r>
                    <m:r>
                      <m:t xml:space="preserve">σ</m:t>
                    </m:r>
                    <m:r>
                      <m:t xml:space="preserve">;</m:t>
                    </m:r>
                    <m:d>
                      <m:dPr>
                        <m:begChr m:val="{"/>
                        <m:endChr m:val="}"/>
                      </m:dPr>
                      <m:e>
                        <m:sSub>
                          <m:e>
                            <m:r>
                              <m:t xml:space="preserve">y</m:t>
                            </m:r>
                          </m:e>
                          <m:sub>
                            <m:r>
                              <m:t xml:space="preserve">t</m:t>
                            </m:r>
                          </m:sub>
                        </m:sSub>
                      </m:e>
                    </m:d>
                  </m:e>
                </m:d>
              </m:e>
            </m:d>
          </m:num>
          <m:den>
            <m:r>
              <m:t xml:space="preserve">∂</m:t>
            </m:r>
            <m:r>
              <m:t xml:space="preserve">κ</m:t>
            </m:r>
          </m:den>
        </m:f>
        <m:r>
          <m:t xml:space="preserve">=</m:t>
        </m:r>
        <m:f>
          <m:num>
            <m:r>
              <m:t xml:space="preserve">1</m:t>
            </m:r>
          </m:num>
          <m:den>
            <m:sSup>
              <m:e>
                <m:r>
                  <m:t xml:space="preserve">σ</m:t>
                </m:r>
              </m:e>
              <m:sup>
                <m:r>
                  <m:t xml:space="preserve">2</m:t>
                </m:r>
              </m:sup>
            </m:sSup>
          </m:den>
        </m:f>
        <m:nary>
          <m:naryPr>
            <m:chr m:val="∑"/>
          </m:naryPr>
          <m:sub>
            <m:r>
              <m:t xml:space="preserve">t</m:t>
            </m:r>
            <m:r>
              <m:t xml:space="preserve">=</m:t>
            </m:r>
            <m:r>
              <m:t xml:space="preserve">1</m:t>
            </m:r>
          </m:sub>
          <m:sup>
            <m:r>
              <m:t xml:space="preserve">N</m:t>
            </m:r>
          </m:sup>
          <m:e>
            <m:d>
              <m:dPr>
                <m:begChr m:val="("/>
                <m:endChr m:val=")"/>
              </m:dPr>
              <m:e>
                <m:sSub>
                  <m:e>
                    <m:r>
                      <m:t xml:space="preserve">y</m:t>
                    </m:r>
                  </m:e>
                  <m:sub>
                    <m:r>
                      <m:t xml:space="preserve">t</m:t>
                    </m:r>
                  </m:sub>
                </m:sSub>
                <m:r>
                  <m:t xml:space="preserve">−</m:t>
                </m:r>
                <m:r>
                  <m:t xml:space="preserve">κ</m:t>
                </m:r>
              </m:e>
            </m:d>
          </m:e>
        </m:nary>
        <m:r>
          <m:t xml:space="preserve">=</m:t>
        </m:r>
        <m:r>
          <m:t xml:space="preserve">0</m:t>
        </m:r>
      </m:oMath>
      <w:r>
        <w:rPr/>
        <w:tab/>
        <w:t>(3.32b)</w:t>
      </w:r>
    </w:p>
    <w:p>
      <w:pPr>
        <w:pStyle w:val="Equation"/>
        <w:rPr>
          <w:color w:val="auto"/>
        </w:rPr>
      </w:pPr>
      <w:bookmarkEnd w:id="17"/>
      <w:r>
        <w:rPr>
          <w:i/>
        </w:rPr>
        <w:tab/>
      </w:r>
      <w:r>
        <w:rPr/>
      </w:r>
      <m:oMath xmlns:m="http://schemas.openxmlformats.org/officeDocument/2006/math">
        <m:f>
          <m:num>
            <m:r>
              <m:t xml:space="preserve">∂</m:t>
            </m:r>
            <m:r>
              <m:rPr>
                <m:lit/>
                <m:nor/>
              </m:rPr>
              <m:t xml:space="preserve">ln</m:t>
            </m:r>
            <m:d>
              <m:dPr>
                <m:begChr m:val="("/>
                <m:endChr m:val=")"/>
              </m:dPr>
              <m:e>
                <m:r>
                  <m:t xml:space="preserve">L</m:t>
                </m:r>
                <m:d>
                  <m:dPr>
                    <m:begChr m:val="("/>
                    <m:endChr m:val=")"/>
                  </m:dPr>
                  <m:e>
                    <m:r>
                      <m:t xml:space="preserve">κ</m:t>
                    </m:r>
                    <m:r>
                      <m:t xml:space="preserve">,</m:t>
                    </m:r>
                    <m:r>
                      <m:t xml:space="preserve">σ</m:t>
                    </m:r>
                    <m:r>
                      <m:t xml:space="preserve">;</m:t>
                    </m:r>
                    <m:d>
                      <m:dPr>
                        <m:begChr m:val="{"/>
                        <m:endChr m:val="}"/>
                      </m:dPr>
                      <m:e>
                        <m:sSub>
                          <m:e>
                            <m:r>
                              <m:t xml:space="preserve">y</m:t>
                            </m:r>
                          </m:e>
                          <m:sub>
                            <m:r>
                              <m:t xml:space="preserve">t</m:t>
                            </m:r>
                          </m:sub>
                        </m:sSub>
                      </m:e>
                    </m:d>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oMath>
      <w:r>
        <w:rPr/>
        <w:tab/>
        <w:t>(3.32c)</w:t>
      </w:r>
    </w:p>
    <w:p>
      <w:pPr>
        <w:pStyle w:val="Equation"/>
        <w:rPr>
          <w:color w:val="auto"/>
        </w:rPr>
      </w:pPr>
      <w:r>
        <w:rPr>
          <w:color w:val="auto"/>
        </w:rPr>
      </w:r>
    </w:p>
    <w:p>
      <w:pPr>
        <w:pStyle w:val="Normal"/>
        <w:rPr/>
      </w:pPr>
      <w:r>
        <w:rPr>
          <w:color w:val="auto"/>
        </w:rPr>
        <w:t>Note the use of the log likelihood function ln</w:t>
      </w:r>
      <w:r>
        <w:rPr/>
      </w:r>
      <m:oMath xmlns:m="http://schemas.openxmlformats.org/officeDocument/2006/math">
        <m:r>
          <m:t xml:space="preserve">L</m:t>
        </m:r>
        <m:d>
          <m:dPr>
            <m:begChr m:val="("/>
            <m:endChr m:val=")"/>
          </m:dPr>
          <m:e>
            <m:r>
              <m:t xml:space="preserve">κ</m:t>
            </m:r>
            <m:r>
              <m:t xml:space="preserve">,</m:t>
            </m:r>
            <m:r>
              <m:t xml:space="preserve">σ</m:t>
            </m:r>
            <m:r>
              <m:t xml:space="preserve">;</m:t>
            </m:r>
            <m:d>
              <m:dPr>
                <m:begChr m:val="{"/>
                <m:endChr m:val="}"/>
              </m:dPr>
              <m:e>
                <m:sSub>
                  <m:e>
                    <m:r>
                      <m:t xml:space="preserve">y</m:t>
                    </m:r>
                  </m:e>
                  <m:sub>
                    <m:r>
                      <m:t xml:space="preserve">t</m:t>
                    </m:r>
                  </m:sub>
                </m:sSub>
              </m:e>
            </m:d>
          </m:e>
        </m:d>
      </m:oMath>
      <w:r>
        <w:rPr>
          <w:color w:val="auto"/>
        </w:rPr>
        <w:t>.  This is a common practice because the natural log is typically easier to treat mathematically and computationally, and parameters that maximise the log likelihood are guaranteed to maximise the likelihood function as well.</w:t>
      </w:r>
    </w:p>
    <w:p>
      <w:pPr>
        <w:pStyle w:val="Normal"/>
        <w:rPr>
          <w:color w:val="auto"/>
        </w:rPr>
      </w:pPr>
      <w:r>
        <w:rPr>
          <w:color w:val="auto"/>
        </w:rPr>
      </w:r>
    </w:p>
    <w:p>
      <w:pPr>
        <w:pStyle w:val="Normal"/>
        <w:rPr>
          <w:color w:val="auto"/>
        </w:rPr>
      </w:pPr>
      <w:r>
        <w:rPr>
          <w:color w:val="auto"/>
        </w:rPr>
        <w:t>The solutions to Equations (3.32b) and (3.32c) are referred to as the Maximum Likelihood Estimates or MLEs of the true distribution parameters.  An obvious question is whether or not MLEs are the “best guesses” of the true parameter values.  We state without proof that, assuming the likelihood function obeys some specific regularity conditions, ML estimators are consistent, asymptotically normal, and asymptotically efficient.  In fact, ML estimators are at least as asymptotically efficient as any consistent estimator.</w:t>
      </w:r>
    </w:p>
    <w:p>
      <w:pPr>
        <w:pStyle w:val="Normal"/>
        <w:rPr>
          <w:color w:val="auto"/>
        </w:rPr>
      </w:pPr>
      <w:r>
        <w:rPr>
          <w:color w:val="auto"/>
        </w:rPr>
      </w:r>
    </w:p>
    <w:p>
      <w:pPr>
        <w:pStyle w:val="Normal"/>
        <w:rPr>
          <w:color w:val="auto"/>
        </w:rPr>
      </w:pPr>
      <w:r>
        <w:rPr>
          <w:color w:val="auto"/>
        </w:rPr>
        <w:t>It is interesting to note that although ML estimation is consistent, it is not unbiased in general.  For example, the MLE for the variance derived from equation (3.32c) is found to be;</w:t>
      </w:r>
    </w:p>
    <w:p>
      <w:pPr>
        <w:pStyle w:val="Normal"/>
        <w:rPr>
          <w:color w:val="auto"/>
        </w:rPr>
      </w:pPr>
      <w:r>
        <w:rPr>
          <w:color w:val="auto"/>
        </w:rPr>
      </w:r>
    </w:p>
    <w:p>
      <w:pPr>
        <w:pStyle w:val="Equation"/>
        <w:rPr/>
      </w:pPr>
      <w:r>
        <w:rPr>
          <w:i/>
        </w:rPr>
        <w:tab/>
      </w:r>
      <w:r>
        <w:rPr/>
      </w:r>
      <m:oMath xmlns:m="http://schemas.openxmlformats.org/officeDocument/2006/math">
        <m:eqArr>
          <m:e>
            <m:f>
              <m:num>
                <m:r>
                  <m:t xml:space="preserve">∂</m:t>
                </m:r>
                <m:r>
                  <m:rPr>
                    <m:lit/>
                    <m:nor/>
                  </m:rPr>
                  <m:t xml:space="preserve">ln</m:t>
                </m:r>
                <m:d>
                  <m:dPr>
                    <m:begChr m:val="("/>
                    <m:endChr m:val=")"/>
                  </m:dPr>
                  <m:e>
                    <m:r>
                      <m:t xml:space="preserve">L</m:t>
                    </m:r>
                    <m:d>
                      <m:dPr>
                        <m:begChr m:val="("/>
                        <m:endChr m:val=")"/>
                      </m:dPr>
                      <m:e>
                        <m:r>
                          <m:t xml:space="preserve">κ</m:t>
                        </m:r>
                        <m:r>
                          <m:t xml:space="preserve">,</m:t>
                        </m:r>
                        <m:r>
                          <m:t xml:space="preserve">σ</m:t>
                        </m:r>
                        <m:r>
                          <m:t xml:space="preserve">;</m:t>
                        </m:r>
                        <m:d>
                          <m:dPr>
                            <m:begChr m:val="{"/>
                            <m:endChr m:val="}"/>
                          </m:dPr>
                          <m:e>
                            <m:sSub>
                              <m:e>
                                <m:r>
                                  <m:t xml:space="preserve">y</m:t>
                                </m:r>
                              </m:e>
                              <m:sub>
                                <m:r>
                                  <m:t xml:space="preserve">t</m:t>
                                </m:r>
                              </m:sub>
                            </m:sSub>
                          </m:e>
                        </m:d>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e>
          <m:e>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f>
              <m:num>
                <m:r>
                  <m:t xml:space="preserve">N</m:t>
                </m:r>
              </m:num>
              <m:den>
                <m:r>
                  <m:t xml:space="preserve">2</m:t>
                </m:r>
                <m:sSup>
                  <m:e>
                    <m:r>
                      <m:t xml:space="preserve">σ</m:t>
                    </m:r>
                  </m:e>
                  <m:sup>
                    <m:r>
                      <m:t xml:space="preserve">2</m:t>
                    </m:r>
                  </m:sup>
                </m:sSup>
              </m:den>
            </m:f>
          </m:e>
          <m:e>
            <m:sSup>
              <m:e>
                <m:r>
                  <m:t xml:space="preserve">σ</m:t>
                </m:r>
              </m:e>
              <m:sup>
                <m:r>
                  <m:t xml:space="preserve">2</m:t>
                </m:r>
              </m:sup>
            </m:sSup>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e>
        </m:eqArr>
      </m:oMath>
      <w:r>
        <w:rPr/>
        <w:tab/>
        <w:t>(3.33)</w:t>
      </w:r>
    </w:p>
    <w:p>
      <w:pPr>
        <w:pStyle w:val="Normal"/>
        <w:rPr/>
      </w:pPr>
      <w:r>
        <w:rPr>
          <w:color w:val="auto"/>
        </w:rPr>
        <w:t xml:space="preserve">which is not the same as the OLS unbiased estimate </w:t>
      </w:r>
      <w:r>
        <w:rPr>
          <w:color w:val="auto"/>
        </w:rPr>
      </w:r>
      <m:oMath xmlns:m="http://schemas.openxmlformats.org/officeDocument/2006/math">
        <m:sSup>
          <m:e>
            <m:r>
              <m:t xml:space="preserve">σ</m:t>
            </m:r>
          </m:e>
          <m:sup>
            <m:r>
              <m:t xml:space="preserve">2</m:t>
            </m:r>
          </m:sup>
        </m:sSup>
        <m:r>
          <m:t xml:space="preserve">=</m:t>
        </m:r>
        <m:f>
          <m:num>
            <m:r>
              <m:t xml:space="preserve">1</m:t>
            </m:r>
          </m:num>
          <m:den>
            <m:r>
              <m:t xml:space="preserve">N</m:t>
            </m:r>
            <m:r>
              <m:t xml:space="preserve">−</m:t>
            </m:r>
            <m:r>
              <m:t xml:space="preserve">1</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oMath>
      <w:r>
        <w:rPr>
          <w:color w:val="auto"/>
        </w:rPr>
        <w:t>.  As we mentioned before however, the ML estimate is more efficient than OLS and, in cases of small numbers of observations, may be a better estimate in the sense of having the minimum mean squared error.</w:t>
      </w:r>
    </w:p>
    <w:p>
      <w:pPr>
        <w:pStyle w:val="Normal"/>
        <w:rPr>
          <w:color w:val="auto"/>
        </w:rPr>
      </w:pPr>
      <w:r>
        <w:rPr>
          <w:color w:val="auto"/>
        </w:rPr>
      </w:r>
    </w:p>
    <w:p>
      <w:pPr>
        <w:pStyle w:val="Heading3"/>
        <w:ind w:hanging="0" w:start="0"/>
        <w:rPr>
          <w:color w:val="auto"/>
        </w:rPr>
      </w:pPr>
      <w:r>
        <w:rPr>
          <w:color w:val="auto"/>
        </w:rPr>
        <w:t>3.4.4</w:t>
        <w:tab/>
        <w:t>Testing</w:t>
      </w:r>
    </w:p>
    <w:p>
      <w:pPr>
        <w:pStyle w:val="Normal"/>
        <w:rPr>
          <w:color w:val="auto"/>
        </w:rPr>
      </w:pPr>
      <w:r>
        <w:rPr>
          <w:color w:val="auto"/>
        </w:rPr>
      </w:r>
    </w:p>
    <w:p>
      <w:pPr>
        <w:pStyle w:val="Normal"/>
        <w:rPr>
          <w:color w:val="auto"/>
        </w:rPr>
      </w:pPr>
      <w:r>
        <w:rPr>
          <w:color w:val="auto"/>
        </w:rPr>
        <w:t>Having decided on a hypothesis for the price process under study and estimated the model’s parameters, it is essential to test the validity of that hypothesis.  Unfortunately, the importance of this step is sometimes ignored in the rush to produce results.  For example, the ubiquity of Black-Scholes-Merton option pricing in equity markets means that it is very common to assume that pure diffusion also describes energy commodity prices.  Figure 3.3 shows average daily prices for NSW electricity for the calendar year 1999.</w:t>
      </w:r>
    </w:p>
    <w:p>
      <w:pPr>
        <w:pStyle w:val="Normal"/>
        <w:rPr>
          <w:color w:val="auto"/>
        </w:rPr>
      </w:pPr>
      <w:r>
        <w:rPr>
          <w:color w:val="auto"/>
        </w:rPr>
      </w:r>
    </w:p>
    <w:p>
      <w:pPr>
        <w:pStyle w:val="Heading4"/>
        <w:jc w:val="center"/>
        <w:rPr/>
      </w:pPr>
      <w:bookmarkStart w:id="18" w:name="_Ref486250657"/>
      <w:r>
        <w:rPr>
          <w:color w:val="auto"/>
        </w:rPr>
        <w:t xml:space="preserve">Figure 3.3 </w:t>
      </w:r>
      <w:bookmarkEnd w:id="18"/>
      <w:r>
        <w:rPr>
          <w:color w:val="auto"/>
          <w:lang w:val="en-CA"/>
        </w:rPr>
        <w:t>Daily Average NSW Power Prices</w:t>
      </w:r>
    </w:p>
    <w:p>
      <w:pPr>
        <w:pStyle w:val="Heading4"/>
        <w:jc w:val="center"/>
        <w:rPr>
          <w:color w:val="auto"/>
          <w:lang w:val="en-CA"/>
        </w:rPr>
      </w:pPr>
      <w:r>
        <w:rPr>
          <w:color w:val="auto"/>
          <w:lang w:val="en-CA"/>
        </w:rPr>
        <w:t>(Jan. 1, 1999 - Dec. 31, 1999)</w:t>
      </w:r>
    </w:p>
    <w:p>
      <w:pPr>
        <w:pStyle w:val="Normal"/>
        <w:jc w:val="center"/>
        <w:rPr>
          <w:color w:val="auto"/>
        </w:rPr>
      </w:pPr>
      <w:bookmarkStart w:id="19" w:name="_1023121494"/>
      <w:bookmarkEnd w:id="19"/>
      <w:r>
        <w:rPr>
          <w:color w:val="auto"/>
        </w:rPr>
        <w:object w:dxaOrig="15360" w:dyaOrig="1177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85.3pt;height:294.7pt" filled="f" o:ole="">
            <v:imagedata r:id="rId13" o:title=""/>
          </v:shape>
          <o:OLEObject Type="Embed" ProgID="Excel.Sheet.12" ShapeID="ole_rId12" DrawAspect="Content" ObjectID="_74072600" r:id="rId12"/>
        </w:object>
      </w:r>
    </w:p>
    <w:p>
      <w:pPr>
        <w:pStyle w:val="Normal"/>
        <w:rPr>
          <w:color w:val="auto"/>
        </w:rPr>
      </w:pPr>
      <w:r>
        <w:rPr>
          <w:color w:val="auto"/>
        </w:rPr>
      </w:r>
      <w:bookmarkStart w:id="20" w:name="_Ref486251111"/>
      <w:bookmarkStart w:id="21" w:name="_Ref486251111"/>
    </w:p>
    <w:p>
      <w:pPr>
        <w:pStyle w:val="Normal"/>
        <w:rPr>
          <w:color w:val="auto"/>
        </w:rPr>
      </w:pPr>
      <w:r>
        <w:rPr>
          <w:color w:val="auto"/>
        </w:rPr>
        <w:t>The standard diffusion variance estimate, described earlier in this chapter, yields a daily volatility of 21.4%.  Without other test statistics, however, it is impossible to judge how meaningful this number is and how well the diffusion process explains the price behaviour.  We can make qualitative judgements by graphing the frequency of daily returns and overlaying a Gaussian curve with zero mean and standard deviation equal to the derived volatility as shown in figure 3.4.</w:t>
      </w:r>
    </w:p>
    <w:p>
      <w:pPr>
        <w:pStyle w:val="Normal"/>
        <w:rPr>
          <w:color w:val="auto"/>
        </w:rPr>
      </w:pPr>
      <w:r>
        <w:rPr>
          <w:color w:val="auto"/>
        </w:rPr>
      </w:r>
    </w:p>
    <w:p>
      <w:pPr>
        <w:pStyle w:val="Heading4"/>
        <w:jc w:val="center"/>
        <w:rPr/>
      </w:pPr>
      <w:bookmarkStart w:id="22" w:name="_Ref486251111"/>
      <w:r>
        <w:rPr>
          <w:color w:val="auto"/>
        </w:rPr>
        <w:t xml:space="preserve">Figure 3.4 </w:t>
      </w:r>
      <w:bookmarkEnd w:id="22"/>
      <w:r>
        <w:rPr>
          <w:color w:val="auto"/>
          <w:lang w:val="en-CA"/>
        </w:rPr>
        <w:t>Daily Average NSW Power Prices Log Returns</w:t>
      </w:r>
    </w:p>
    <w:p>
      <w:pPr>
        <w:pStyle w:val="Heading4"/>
        <w:jc w:val="center"/>
        <w:rPr>
          <w:color w:val="auto"/>
          <w:lang w:val="en-CA"/>
        </w:rPr>
      </w:pPr>
      <w:r>
        <w:rPr>
          <w:color w:val="auto"/>
          <w:lang w:val="en-CA"/>
        </w:rPr>
        <w:t>(Jan. 1, 1999 - Dec. 31, 1999)</w:t>
      </w:r>
    </w:p>
    <w:p>
      <w:pPr>
        <w:pStyle w:val="Normal"/>
        <w:jc w:val="center"/>
        <w:rPr>
          <w:color w:val="auto"/>
        </w:rPr>
      </w:pPr>
      <w:bookmarkStart w:id="23" w:name="_1023121747"/>
      <w:bookmarkStart w:id="24" w:name="_1023121675"/>
      <w:bookmarkEnd w:id="23"/>
      <w:bookmarkEnd w:id="24"/>
      <w:r>
        <w:rPr>
          <w:color w:val="auto"/>
        </w:rPr>
        <w:object w:dxaOrig="15360" w:dyaOrig="1177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06.55pt;height:277.6pt" filled="f" o:ole="">
            <v:imagedata r:id="rId15" o:title=""/>
          </v:shape>
          <o:OLEObject Type="Embed" ProgID="Excel.Sheet.12" ShapeID="ole_rId14" DrawAspect="Content" ObjectID="_1813863825" r:id="rId14"/>
        </w:object>
      </w:r>
    </w:p>
    <w:p>
      <w:pPr>
        <w:pStyle w:val="Normal"/>
        <w:rPr>
          <w:color w:val="auto"/>
        </w:rPr>
      </w:pPr>
      <w:r>
        <w:rPr>
          <w:color w:val="auto"/>
        </w:rPr>
      </w:r>
    </w:p>
    <w:p>
      <w:pPr>
        <w:pStyle w:val="Normal"/>
        <w:rPr>
          <w:color w:val="auto"/>
        </w:rPr>
      </w:pPr>
      <w:r>
        <w:rPr>
          <w:color w:val="auto"/>
        </w:rPr>
        <w:t xml:space="preserve">This figure demonstrates the poor quality of the fit.  The standard deviation seems to be overly influenced by a few large valued returns at the expense of a larger number of small valued returns.  Indeed, fitting "by eye", as suggested by the dashed normal distribution in the figure, might lead us to estimate a rather lower volatility.  Calculating the skew and excess kurtosis of the return distribution provides a more quantitative test of normality.  If the returns are normally distributed, then the two statistics </w:t>
      </w:r>
    </w:p>
    <w:p>
      <w:pPr>
        <w:pStyle w:val="Equation"/>
        <w:rPr/>
      </w:pPr>
      <w:r>
        <w:rPr>
          <w:i/>
        </w:rPr>
        <w:tab/>
      </w:r>
      <w:r>
        <w:rPr/>
      </w:r>
      <m:oMath xmlns:m="http://schemas.openxmlformats.org/officeDocument/2006/math">
        <m:sSub>
          <m:e>
            <m:r>
              <m:t xml:space="preserve">T</m:t>
            </m:r>
          </m:e>
          <m:sub>
            <m:r>
              <m:rPr>
                <m:lit/>
                <m:nor/>
              </m:rPr>
              <m:t xml:space="preserve">skew</m:t>
            </m:r>
          </m:sub>
        </m:sSub>
        <m:r>
          <m:t xml:space="preserve">=</m:t>
        </m:r>
        <m:f>
          <m:num>
            <m:r>
              <m:t xml:space="preserve">1</m:t>
            </m:r>
          </m:num>
          <m:den>
            <m:rad>
              <m:radPr>
                <m:degHide m:val="1"/>
              </m:radPr>
              <m:deg/>
              <m:e>
                <m:r>
                  <m:t xml:space="preserve">6</m:t>
                </m:r>
                <m:r>
                  <m:t xml:space="preserve">N</m:t>
                </m:r>
              </m:e>
            </m:rad>
          </m:den>
        </m:f>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oMath>
      <w:r>
        <w:rPr/>
        <w:tab/>
        <w:t>(3.34)</w:t>
      </w:r>
    </w:p>
    <w:p>
      <w:pPr>
        <w:pStyle w:val="Normal"/>
        <w:rPr>
          <w:color w:val="auto"/>
        </w:rPr>
      </w:pPr>
      <w:r>
        <w:rPr>
          <w:color w:val="auto"/>
        </w:rPr>
        <w:t>and</w:t>
      </w:r>
    </w:p>
    <w:p>
      <w:pPr>
        <w:pStyle w:val="Equation"/>
        <w:rPr/>
      </w:pPr>
      <w:r>
        <w:rPr>
          <w:i/>
        </w:rPr>
        <w:tab/>
      </w:r>
      <w:r>
        <w:rPr/>
      </w:r>
      <m:oMath xmlns:m="http://schemas.openxmlformats.org/officeDocument/2006/math">
        <m:sSub>
          <m:e>
            <m:r>
              <m:t xml:space="preserve">T</m:t>
            </m:r>
          </m:e>
          <m:sub>
            <m:r>
              <m:rPr>
                <m:lit/>
                <m:nor/>
              </m:rPr>
              <m:t xml:space="preserve">kurt</m:t>
            </m:r>
          </m:sub>
        </m:sSub>
        <m:r>
          <m:t xml:space="preserve">=</m:t>
        </m:r>
        <m:f>
          <m:num>
            <m:r>
              <m:t xml:space="preserve">1</m:t>
            </m:r>
          </m:num>
          <m:den>
            <m:rad>
              <m:radPr>
                <m:degHide m:val="1"/>
              </m:radPr>
              <m:deg/>
              <m:e>
                <m:r>
                  <m:rPr>
                    <m:lit/>
                    <m:nor/>
                  </m:rPr>
                  <m:t xml:space="preserve">24</m:t>
                </m:r>
                <m:r>
                  <m:t xml:space="preserve">N</m:t>
                </m:r>
              </m:e>
            </m:rad>
          </m:den>
        </m:f>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oMath>
      <w:r>
        <w:rPr/>
        <w:tab/>
        <w:t>(3.35)</w:t>
      </w:r>
    </w:p>
    <w:p>
      <w:pPr>
        <w:pStyle w:val="Normal"/>
        <w:rPr/>
      </w:pPr>
      <w:r>
        <w:rPr>
          <w:color w:val="auto"/>
        </w:rPr>
        <w:t xml:space="preserve">are asymptotically distributed as </w:t>
      </w:r>
      <w:r>
        <w:rPr>
          <w:i/>
          <w:color w:val="auto"/>
        </w:rPr>
        <w:t>N</w:t>
      </w:r>
      <w:r>
        <w:rPr>
          <w:color w:val="auto"/>
        </w:rPr>
        <w:t xml:space="preserve">(0,1).  A related statistic, suggested by Jarque and Bera (1980), essentially combines equations (3.34) and (3.35) to form </w:t>
      </w:r>
    </w:p>
    <w:p>
      <w:pPr>
        <w:pStyle w:val="Normal"/>
        <w:rPr>
          <w:color w:val="auto"/>
        </w:rPr>
      </w:pPr>
      <w:r>
        <w:rPr>
          <w:color w:val="auto"/>
        </w:rPr>
      </w:r>
      <w:bookmarkStart w:id="25" w:name="_Ref486667159"/>
      <w:bookmarkStart w:id="26" w:name="_Ref486667159"/>
      <w:bookmarkEnd w:id="26"/>
    </w:p>
    <w:p>
      <w:pPr>
        <w:pStyle w:val="Equation"/>
        <w:rPr/>
      </w:pPr>
      <w:bookmarkStart w:id="27" w:name="_Ref486667159"/>
      <w:bookmarkEnd w:id="27"/>
      <w:r>
        <w:rPr>
          <w:i/>
          <w:color w:val="auto"/>
        </w:rPr>
        <w:tab/>
      </w:r>
      <w:r>
        <w:rPr>
          <w:color w:val="auto"/>
        </w:rPr>
      </w:r>
      <m:oMath xmlns:m="http://schemas.openxmlformats.org/officeDocument/2006/math">
        <m:sSub>
          <m:e>
            <m:r>
              <m:t xml:space="preserve">T</m:t>
            </m:r>
          </m:e>
          <m:sub>
            <m:r>
              <m:rPr>
                <m:lit/>
                <m:nor/>
              </m:rPr>
              <m:t xml:space="preserve">JB</m:t>
            </m:r>
          </m:sub>
        </m:sSub>
        <m:r>
          <m:t xml:space="preserve">=</m:t>
        </m:r>
        <m:r>
          <m:t xml:space="preserve">N</m:t>
        </m:r>
        <m:d>
          <m:dPr>
            <m:begChr m:val="["/>
            <m:endChr m:val="]"/>
          </m:dPr>
          <m:e>
            <m:f>
              <m:num>
                <m:sSup>
                  <m:e>
                    <m:r>
                      <m:rPr>
                        <m:lit/>
                        <m:nor/>
                      </m:rPr>
                      <m:t xml:space="preserve">Skew</m:t>
                    </m:r>
                  </m:e>
                  <m:sup>
                    <m:r>
                      <m:t xml:space="preserve">2</m:t>
                    </m:r>
                  </m:sup>
                </m:sSup>
              </m:num>
              <m:den>
                <m:r>
                  <m:t xml:space="preserve">6</m:t>
                </m:r>
              </m:den>
            </m:f>
            <m:r>
              <m:t xml:space="preserve">+</m:t>
            </m:r>
            <m:f>
              <m:num>
                <m:sSup>
                  <m:e>
                    <m:r>
                      <m:rPr>
                        <m:lit/>
                        <m:nor/>
                      </m:rPr>
                      <m:t xml:space="preserve">Excess Kurtosis</m:t>
                    </m:r>
                  </m:e>
                  <m:sup>
                    <m:r>
                      <m:t xml:space="preserve">2</m:t>
                    </m:r>
                  </m:sup>
                </m:sSup>
              </m:num>
              <m:den>
                <m:r>
                  <m:rPr>
                    <m:lit/>
                    <m:nor/>
                  </m:rPr>
                  <m:t xml:space="preserve">24</m:t>
                </m:r>
              </m:den>
            </m:f>
          </m:e>
        </m:d>
      </m:oMath>
      <w:r>
        <w:rPr>
          <w:color w:val="auto"/>
        </w:rPr>
        <w:tab/>
        <w:t>(3.36)</w:t>
      </w:r>
    </w:p>
    <w:p>
      <w:pPr>
        <w:pStyle w:val="Normal"/>
        <w:rPr>
          <w:color w:val="auto"/>
        </w:rPr>
      </w:pPr>
      <w:r>
        <w:rPr>
          <w:color w:val="auto"/>
        </w:rPr>
      </w:r>
    </w:p>
    <w:p>
      <w:pPr>
        <w:pStyle w:val="Normal"/>
        <w:rPr/>
      </w:pPr>
      <w:r>
        <w:rPr>
          <w:color w:val="auto"/>
        </w:rPr>
        <w:t xml:space="preserve">The Jarque-Bera statistic has as chi-squared distribution of degree 2 under the null hypothesis of normality. In the case of the NSW daily price data, we find for the 364 observations the skew and excess kurtosis to be 0.177 and 6.22 respectively.  The statistic </w:t>
      </w:r>
      <w:r>
        <w:rPr>
          <w:i/>
          <w:color w:val="auto"/>
        </w:rPr>
        <w:t>T</w:t>
      </w:r>
      <w:r>
        <w:rPr>
          <w:i/>
          <w:color w:val="auto"/>
          <w:vertAlign w:val="subscript"/>
        </w:rPr>
        <w:t>JB</w:t>
      </w:r>
      <w:r>
        <w:rPr>
          <w:color w:val="auto"/>
        </w:rPr>
        <w:t xml:space="preserve"> is then about 580 implying that we reject the hypothesis of normally distributed log price returns at a level of order 10</w:t>
      </w:r>
      <w:r>
        <w:rPr>
          <w:color w:val="auto"/>
          <w:vertAlign w:val="superscript"/>
        </w:rPr>
        <w:t>-128</w:t>
      </w:r>
      <w:r>
        <w:rPr>
          <w:color w:val="auto"/>
        </w:rPr>
        <w:t>.</w:t>
      </w:r>
    </w:p>
    <w:p>
      <w:pPr>
        <w:pStyle w:val="Normal"/>
        <w:rPr>
          <w:color w:val="auto"/>
        </w:rPr>
      </w:pPr>
      <w:r>
        <w:rPr>
          <w:color w:val="auto"/>
        </w:rPr>
      </w:r>
    </w:p>
    <w:p>
      <w:pPr>
        <w:pStyle w:val="Normal"/>
        <w:rPr>
          <w:color w:val="auto"/>
        </w:rPr>
      </w:pPr>
      <w:r>
        <w:rPr>
          <w:color w:val="auto"/>
        </w:rPr>
        <w:t>Tests for the presence of heteroskedasticity rely on the fact that the residuals from OLS regression will retain any non-stationary behaviour inherent in the underlying process.  Thus, tests sensitive to changing variance can be performed on the regression residuals to detect heteroskedasticity. One such time-honoured test is the Goldfeld—Quandt test.  It assumes that there exists a variable that is related to a model’s variance.  Using this variable, the data is sorted into subsets of high and low expected variance.  We then perform OLS regression on the two data sets and form the statistic,</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F</m:t>
        </m:r>
        <m:r>
          <m:t xml:space="preserve">[</m:t>
        </m:r>
        <m:sSub>
          <m:e>
            <m:r>
              <m:t xml:space="preserve">n</m:t>
            </m:r>
          </m:e>
          <m:sub>
            <m:r>
              <m:t xml:space="preserve">1</m:t>
            </m:r>
          </m:sub>
        </m:sSub>
        <m:r>
          <m:t xml:space="preserve">−</m:t>
        </m:r>
        <m:r>
          <m:t xml:space="preserve">K</m:t>
        </m:r>
        <m:r>
          <m:t xml:space="preserve">,</m:t>
        </m:r>
        <m:sSub>
          <m:e>
            <m:r>
              <m:t xml:space="preserve">n</m:t>
            </m:r>
          </m:e>
          <m:sub>
            <m:r>
              <m:t xml:space="preserve">2</m:t>
            </m:r>
          </m:sub>
        </m:sSub>
        <m:r>
          <m:t xml:space="preserve">−</m:t>
        </m:r>
        <m:r>
          <m:t xml:space="preserve">K</m:t>
        </m:r>
        <m:r>
          <m:t xml:space="preserve">]</m:t>
        </m:r>
        <m:r>
          <m:t xml:space="preserve">=</m:t>
        </m:r>
        <m:f>
          <m:num>
            <m:sSub>
              <m:e>
                <m:r>
                  <m:rPr>
                    <m:lit/>
                    <m:nor/>
                  </m:rPr>
                  <m:t xml:space="preserve">SSR</m:t>
                </m:r>
              </m:e>
              <m:sub>
                <m:r>
                  <m:t xml:space="preserve">1</m:t>
                </m:r>
              </m:sub>
            </m:sSub>
            <m:d>
              <m:dPr>
                <m:begChr m:val="("/>
                <m:endChr m:val=")"/>
              </m:dPr>
              <m:e>
                <m:sSub>
                  <m:e>
                    <m:r>
                      <m:t xml:space="preserve">n</m:t>
                    </m:r>
                  </m:e>
                  <m:sub>
                    <m:r>
                      <m:t xml:space="preserve">1</m:t>
                    </m:r>
                  </m:sub>
                </m:sSub>
                <m:r>
                  <m:t xml:space="preserve">−</m:t>
                </m:r>
                <m:r>
                  <m:t xml:space="preserve">K</m:t>
                </m:r>
              </m:e>
            </m:d>
          </m:num>
          <m:den>
            <m:sSub>
              <m:e>
                <m:r>
                  <m:rPr>
                    <m:lit/>
                    <m:nor/>
                  </m:rPr>
                  <m:t xml:space="preserve">SSR</m:t>
                </m:r>
              </m:e>
              <m:sub>
                <m:r>
                  <m:t xml:space="preserve">2</m:t>
                </m:r>
              </m:sub>
            </m:sSub>
            <m:d>
              <m:dPr>
                <m:begChr m:val="("/>
                <m:endChr m:val=")"/>
              </m:dPr>
              <m:e>
                <m:sSub>
                  <m:e>
                    <m:r>
                      <m:t xml:space="preserve">n</m:t>
                    </m:r>
                  </m:e>
                  <m:sub>
                    <m:r>
                      <m:t xml:space="preserve">2</m:t>
                    </m:r>
                  </m:sub>
                </m:sSub>
                <m:r>
                  <m:t xml:space="preserve">−</m:t>
                </m:r>
                <m:r>
                  <m:t xml:space="preserve">K</m:t>
                </m:r>
              </m:e>
            </m:d>
          </m:den>
        </m:f>
      </m:oMath>
      <w:r>
        <w:rPr>
          <w:color w:val="auto"/>
        </w:rPr>
        <w:tab/>
        <w:t>(3.37)</w:t>
      </w:r>
    </w:p>
    <w:p>
      <w:pPr>
        <w:pStyle w:val="Normal"/>
        <w:jc w:val="center"/>
        <w:rPr>
          <w:color w:val="auto"/>
        </w:rPr>
      </w:pPr>
      <w:r>
        <w:rPr>
          <w:color w:val="auto"/>
        </w:rPr>
      </w:r>
    </w:p>
    <w:p>
      <w:pPr>
        <w:pStyle w:val="Normal"/>
        <w:rPr/>
      </w:pPr>
      <w:r>
        <w:rPr>
          <w:color w:val="auto"/>
        </w:rPr>
        <w:t xml:space="preserve">Where </w:t>
      </w:r>
      <w:r>
        <w:rPr>
          <w:i/>
          <w:color w:val="auto"/>
        </w:rPr>
        <w:t>SSR</w:t>
      </w:r>
      <w:r>
        <w:rPr>
          <w:color w:val="auto"/>
        </w:rPr>
        <w:t xml:space="preserve"> stands for Sum of Squared Residuals, </w:t>
      </w:r>
      <w:r>
        <w:rPr>
          <w:i/>
          <w:color w:val="auto"/>
        </w:rPr>
        <w:t>n</w:t>
      </w:r>
      <w:r>
        <w:rPr>
          <w:i/>
          <w:color w:val="auto"/>
          <w:vertAlign w:val="subscript"/>
        </w:rPr>
        <w:t>1</w:t>
      </w:r>
      <w:r>
        <w:rPr>
          <w:color w:val="auto"/>
        </w:rPr>
        <w:t xml:space="preserve"> and </w:t>
      </w:r>
      <w:r>
        <w:rPr>
          <w:i/>
          <w:color w:val="auto"/>
        </w:rPr>
        <w:t>n</w:t>
      </w:r>
      <w:r>
        <w:rPr>
          <w:i/>
          <w:color w:val="auto"/>
          <w:vertAlign w:val="subscript"/>
        </w:rPr>
        <w:t>2</w:t>
      </w:r>
      <w:r>
        <w:rPr>
          <w:color w:val="auto"/>
        </w:rPr>
        <w:t xml:space="preserve"> are the number of observations in the high and low data sets respectively and </w:t>
      </w:r>
      <w:r>
        <w:rPr>
          <w:i/>
          <w:color w:val="auto"/>
        </w:rPr>
        <w:t>K</w:t>
      </w:r>
      <w:r>
        <w:rPr>
          <w:color w:val="auto"/>
        </w:rPr>
        <w:t xml:space="preserve"> is the number of parameters in the regression.  Under the null hypothesis of homoskedacity, this statistic is distributed as </w:t>
      </w:r>
      <w:r>
        <w:rPr>
          <w:i/>
          <w:color w:val="auto"/>
        </w:rPr>
        <w:t>F</w:t>
      </w:r>
      <w:r>
        <w:rPr>
          <w:color w:val="auto"/>
        </w:rPr>
        <w:t>[</w:t>
      </w:r>
      <w:r>
        <w:rPr>
          <w:i/>
          <w:color w:val="auto"/>
        </w:rPr>
        <w:t>n</w:t>
      </w:r>
      <w:r>
        <w:rPr>
          <w:color w:val="auto"/>
          <w:vertAlign w:val="subscript"/>
        </w:rPr>
        <w:t>1</w:t>
      </w:r>
      <w:r>
        <w:rPr>
          <w:color w:val="auto"/>
        </w:rPr>
        <w:t>-</w:t>
      </w:r>
      <w:r>
        <w:rPr>
          <w:i/>
          <w:color w:val="auto"/>
        </w:rPr>
        <w:t>K</w:t>
      </w:r>
      <w:r>
        <w:rPr>
          <w:color w:val="auto"/>
        </w:rPr>
        <w:t xml:space="preserve">, </w:t>
      </w:r>
      <w:r>
        <w:rPr>
          <w:i/>
          <w:color w:val="auto"/>
        </w:rPr>
        <w:t>n</w:t>
      </w:r>
      <w:r>
        <w:rPr>
          <w:color w:val="auto"/>
          <w:vertAlign w:val="subscript"/>
        </w:rPr>
        <w:t>2</w:t>
      </w:r>
      <w:r>
        <w:rPr>
          <w:color w:val="auto"/>
        </w:rPr>
        <w:t>-</w:t>
      </w:r>
      <w:r>
        <w:rPr>
          <w:i/>
          <w:color w:val="auto"/>
        </w:rPr>
        <w:t>K</w:t>
      </w:r>
      <w:r>
        <w:rPr>
          <w:color w:val="auto"/>
        </w:rPr>
        <w:t>].</w:t>
      </w:r>
    </w:p>
    <w:p>
      <w:pPr>
        <w:pStyle w:val="Normal"/>
        <w:rPr>
          <w:color w:val="auto"/>
        </w:rPr>
      </w:pPr>
      <w:r>
        <w:rPr>
          <w:color w:val="auto"/>
        </w:rPr>
      </w:r>
    </w:p>
    <w:p>
      <w:pPr>
        <w:pStyle w:val="Normal"/>
        <w:rPr>
          <w:color w:val="auto"/>
        </w:rPr>
      </w:pPr>
      <w:r>
        <w:rPr>
          <w:color w:val="auto"/>
        </w:rPr>
        <w:t>To test specifically for ARCH and GARCH behaviour, Engle (1982) and Bollerslev (1986) suggest variations on the Breusch—Pagan/Godfrey test, which is a form of Lagrange multiplier test. The details of this test are beyond the scope of this chapter, but the interested reader may refer to standard econometric texts such as Davidson and MacKinnon (1993) for a discussion of the Lagrange multiplier principle.</w:t>
      </w:r>
    </w:p>
    <w:p>
      <w:pPr>
        <w:pStyle w:val="Normal"/>
        <w:rPr>
          <w:color w:val="auto"/>
        </w:rPr>
      </w:pPr>
      <w:r>
        <w:rPr>
          <w:color w:val="auto"/>
        </w:rPr>
      </w:r>
    </w:p>
    <w:p>
      <w:pPr>
        <w:pStyle w:val="Normal"/>
        <w:rPr/>
      </w:pPr>
      <w:r>
        <w:rPr>
          <w:color w:val="auto"/>
        </w:rPr>
        <w:t xml:space="preserve">A related test is suggested by Hull (1999), which can be used to measure the success of a GARCH model fit.  If the model explains the data well, then the set of </w:t>
      </w:r>
      <w:r>
        <w:rPr>
          <w:color w:val="auto"/>
        </w:rPr>
      </w:r>
      <m:oMath xmlns:m="http://schemas.openxmlformats.org/officeDocument/2006/math">
        <m:d>
          <m:dPr>
            <m:begChr m:val="{"/>
            <m:endChr m:val="}"/>
          </m:dPr>
          <m:e>
            <m:f>
              <m:fPr>
                <m:type m:val="lin"/>
              </m:fPr>
              <m:num>
                <m:sSubSup>
                  <m:e>
                    <m:r>
                      <m:t xml:space="preserve">u</m:t>
                    </m:r>
                  </m:e>
                  <m:sub>
                    <m:r>
                      <m:t xml:space="preserve">t</m:t>
                    </m:r>
                  </m:sub>
                  <m:sup>
                    <m:r>
                      <m:t xml:space="preserve">2</m:t>
                    </m:r>
                  </m:sup>
                </m:sSubSup>
              </m:num>
              <m:den>
                <m:sSubSup>
                  <m:e>
                    <m:r>
                      <m:t xml:space="preserve">σ</m:t>
                    </m:r>
                  </m:e>
                  <m:sub>
                    <m:r>
                      <m:t xml:space="preserve">t</m:t>
                    </m:r>
                  </m:sub>
                  <m:sup>
                    <m:r>
                      <m:t xml:space="preserve">2</m:t>
                    </m:r>
                  </m:sup>
                </m:sSubSup>
              </m:den>
            </m:f>
          </m:e>
        </m:d>
      </m:oMath>
      <w:r>
        <w:rPr>
          <w:color w:val="auto"/>
        </w:rPr>
        <w:t xml:space="preserve"> should exhibit no autocorrelation. Here </w:t>
      </w:r>
      <w:r>
        <w:rPr>
          <w:color w:val="auto"/>
        </w:rPr>
      </w:r>
      <m:oMath xmlns:m="http://schemas.openxmlformats.org/officeDocument/2006/math">
        <m:sSub>
          <m:e>
            <m:r>
              <m:t xml:space="preserve">u</m:t>
            </m:r>
          </m:e>
          <m:sub>
            <m:r>
              <m:t xml:space="preserve">t</m:t>
            </m:r>
          </m:sub>
        </m:sSub>
      </m:oMath>
      <w:r>
        <w:rPr>
          <w:color w:val="auto"/>
        </w:rPr>
        <w:t xml:space="preserve"> and</w:t>
      </w:r>
      <w:r>
        <w:rPr>
          <w:color w:val="auto"/>
        </w:rPr>
      </w:r>
      <m:oMath xmlns:m="http://schemas.openxmlformats.org/officeDocument/2006/math">
        <m:sSub>
          <m:e>
            <m:r>
              <m:t xml:space="preserve">σ</m:t>
            </m:r>
          </m:e>
          <m:sub>
            <m:r>
              <m:t xml:space="preserve">t</m:t>
            </m:r>
          </m:sub>
        </m:sSub>
      </m:oMath>
      <w:r>
        <w:rPr>
          <w:color w:val="auto"/>
        </w:rPr>
        <w:t xml:space="preserve"> are the residuals and volatilities derived from the GARCH model under examination.  The Ljung-Box statistic is suggested as a method for testing this series for autocorrelation.</w:t>
      </w:r>
    </w:p>
    <w:p>
      <w:pPr>
        <w:pStyle w:val="Normal"/>
        <w:rPr>
          <w:color w:val="auto"/>
        </w:rPr>
      </w:pPr>
      <w:r>
        <w:rPr>
          <w:color w:val="auto"/>
        </w:rPr>
      </w:r>
    </w:p>
    <w:p>
      <w:pPr>
        <w:pStyle w:val="Normal"/>
        <w:rPr>
          <w:color w:val="auto"/>
        </w:rPr>
      </w:pPr>
      <w:r>
        <w:rPr>
          <w:color w:val="auto"/>
        </w:rPr>
      </w:r>
    </w:p>
    <w:p>
      <w:pPr>
        <w:pStyle w:val="Heading3"/>
        <w:ind w:hanging="0" w:start="0"/>
        <w:rPr>
          <w:color w:val="auto"/>
        </w:rPr>
      </w:pPr>
      <w:r>
        <w:rPr>
          <w:color w:val="auto"/>
        </w:rPr>
        <w:t>3.4.5</w:t>
        <w:tab/>
        <w:t>Examples from the Energy Commodity Markets</w:t>
      </w:r>
    </w:p>
    <w:p>
      <w:pPr>
        <w:pStyle w:val="Normal"/>
        <w:rPr>
          <w:color w:val="auto"/>
        </w:rPr>
      </w:pPr>
      <w:r>
        <w:rPr>
          <w:color w:val="auto"/>
        </w:rPr>
      </w:r>
    </w:p>
    <w:p>
      <w:pPr>
        <w:pStyle w:val="Normal"/>
        <w:rPr>
          <w:color w:val="auto"/>
        </w:rPr>
      </w:pPr>
      <w:r>
        <w:rPr>
          <w:color w:val="auto"/>
        </w:rPr>
        <w:t xml:space="preserve">We conclude this chapter by comparing different price models fitted to selected energy markets: the California PX day-ahead peak electricity price for zone NP15 (NP15), the NYMEX prompt month gas futures contract (Gas), and the NYMEX prompt month crude oil futures contract (Crude). Table 3.5 details basic statistics for each data set used in this analysis. </w:t>
      </w:r>
    </w:p>
    <w:p>
      <w:pPr>
        <w:pStyle w:val="Normal"/>
        <w:rPr>
          <w:color w:val="auto"/>
        </w:rPr>
      </w:pPr>
      <w:r>
        <w:rPr>
          <w:color w:val="auto"/>
        </w:rPr>
      </w:r>
    </w:p>
    <w:p>
      <w:pPr>
        <w:pStyle w:val="Normal"/>
        <w:rPr/>
      </w:pPr>
      <w:r>
        <w:rPr/>
        <w:t>Table 3.5 Data set statistics for daily log price returns on California PX NP-15 peak prices, NYMEX prompt month gas futures contract prices, and NYMEX prompt month crude oil futures contract prices</w:t>
      </w:r>
    </w:p>
    <w:tbl>
      <w:tblPr>
        <w:tblW w:w="6660" w:type="dxa"/>
        <w:jc w:val="start"/>
        <w:tblInd w:w="108" w:type="dxa"/>
        <w:tblLayout w:type="fixed"/>
        <w:tblCellMar>
          <w:top w:w="0" w:type="dxa"/>
          <w:start w:w="108" w:type="dxa"/>
          <w:bottom w:w="0" w:type="dxa"/>
          <w:end w:w="108" w:type="dxa"/>
        </w:tblCellMar>
      </w:tblPr>
      <w:tblGrid>
        <w:gridCol w:w="2700"/>
        <w:gridCol w:w="1260"/>
        <w:gridCol w:w="1350"/>
        <w:gridCol w:w="1350"/>
      </w:tblGrid>
      <w:tr>
        <w:trPr>
          <w:trHeight w:val="375" w:hRule="atLeast"/>
        </w:trPr>
        <w:tc>
          <w:tcPr>
            <w:tcW w:w="2700" w:type="dxa"/>
            <w:tcBorders>
              <w:top w:val="single" w:sz="12" w:space="0" w:color="000000"/>
              <w:bottom w:val="single" w:sz="6" w:space="0" w:color="000000"/>
            </w:tcBorders>
          </w:tcPr>
          <w:p>
            <w:pPr>
              <w:pStyle w:val="Normal"/>
              <w:snapToGrid w:val="false"/>
              <w:rPr>
                <w:i/>
                <w:i/>
                <w:color w:val="auto"/>
              </w:rPr>
            </w:pPr>
            <w:r>
              <w:rPr>
                <w:i/>
                <w:color w:val="auto"/>
              </w:rPr>
            </w:r>
          </w:p>
        </w:tc>
        <w:tc>
          <w:tcPr>
            <w:tcW w:w="126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NP15</w:t>
            </w:r>
          </w:p>
        </w:tc>
        <w:tc>
          <w:tcPr>
            <w:tcW w:w="135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Gas</w:t>
            </w:r>
          </w:p>
        </w:tc>
        <w:tc>
          <w:tcPr>
            <w:tcW w:w="135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Crude</w:t>
            </w:r>
          </w:p>
        </w:tc>
      </w:tr>
      <w:tr>
        <w:trPr>
          <w:trHeight w:val="75" w:hRule="atLeast"/>
        </w:trPr>
        <w:tc>
          <w:tcPr>
            <w:tcW w:w="2700" w:type="dxa"/>
            <w:tcBorders>
              <w:bottom w:val="single" w:sz="4" w:space="0" w:color="000000"/>
              <w:end w:val="single" w:sz="6" w:space="0" w:color="000000"/>
            </w:tcBorders>
          </w:tcPr>
          <w:p>
            <w:pPr>
              <w:pStyle w:val="Normal"/>
              <w:rPr>
                <w:color w:val="auto"/>
              </w:rPr>
            </w:pPr>
            <w:r>
              <w:rPr>
                <w:color w:val="auto"/>
              </w:rPr>
              <w:t>Span</w:t>
            </w:r>
          </w:p>
        </w:tc>
        <w:tc>
          <w:tcPr>
            <w:tcW w:w="3960" w:type="dxa"/>
            <w:gridSpan w:val="3"/>
            <w:tcBorders>
              <w:bottom w:val="single" w:sz="4" w:space="0" w:color="000000"/>
              <w:end w:val="single" w:sz="4" w:space="0" w:color="C0C0C0"/>
            </w:tcBorders>
          </w:tcPr>
          <w:p>
            <w:pPr>
              <w:pStyle w:val="Normal"/>
              <w:jc w:val="center"/>
              <w:rPr/>
            </w:pPr>
            <w:r>
              <w:rPr>
                <w:color w:val="auto"/>
              </w:rPr>
              <w:t>January 15</w:t>
            </w:r>
            <w:r>
              <w:rPr>
                <w:color w:val="auto"/>
                <w:vertAlign w:val="superscript"/>
              </w:rPr>
              <w:t>th</w:t>
            </w:r>
            <w:r>
              <w:rPr>
                <w:color w:val="auto"/>
              </w:rPr>
              <w:t>, 1999 – March 29</w:t>
            </w:r>
            <w:r>
              <w:rPr>
                <w:color w:val="auto"/>
                <w:vertAlign w:val="superscript"/>
              </w:rPr>
              <w:t>th</w:t>
            </w:r>
            <w:r>
              <w:rPr>
                <w:color w:val="auto"/>
              </w:rPr>
              <w:t>, 2000</w:t>
            </w:r>
          </w:p>
        </w:tc>
      </w:tr>
      <w:tr>
        <w:trPr>
          <w:trHeight w:val="255" w:hRule="atLeast"/>
        </w:trPr>
        <w:tc>
          <w:tcPr>
            <w:tcW w:w="2700" w:type="dxa"/>
            <w:tcBorders>
              <w:top w:val="single" w:sz="4" w:space="0" w:color="000000"/>
              <w:bottom w:val="single" w:sz="4" w:space="0" w:color="000000"/>
              <w:end w:val="single" w:sz="6" w:space="0" w:color="000000"/>
            </w:tcBorders>
          </w:tcPr>
          <w:p>
            <w:pPr>
              <w:pStyle w:val="Normal"/>
              <w:rPr>
                <w:color w:val="auto"/>
              </w:rPr>
            </w:pPr>
            <w:r>
              <w:rPr>
                <w:color w:val="auto"/>
              </w:rPr>
              <w:t>Number of Observations*</w:t>
            </w:r>
          </w:p>
        </w:tc>
        <w:tc>
          <w:tcPr>
            <w:tcW w:w="1260" w:type="dxa"/>
            <w:tcBorders>
              <w:top w:val="single" w:sz="4" w:space="0" w:color="000000"/>
              <w:bottom w:val="single" w:sz="4" w:space="0" w:color="000000"/>
            </w:tcBorders>
          </w:tcPr>
          <w:p>
            <w:pPr>
              <w:pStyle w:val="Normal"/>
              <w:rPr>
                <w:color w:val="auto"/>
              </w:rPr>
            </w:pPr>
            <w:r>
              <w:rPr>
                <w:color w:val="auto"/>
              </w:rPr>
              <w:t>370</w:t>
            </w:r>
          </w:p>
        </w:tc>
        <w:tc>
          <w:tcPr>
            <w:tcW w:w="1350" w:type="dxa"/>
            <w:tcBorders>
              <w:top w:val="single" w:sz="4" w:space="0" w:color="000000"/>
              <w:start w:val="single" w:sz="4" w:space="0" w:color="C0C0C0"/>
              <w:bottom w:val="single" w:sz="4" w:space="0" w:color="000000"/>
            </w:tcBorders>
          </w:tcPr>
          <w:p>
            <w:pPr>
              <w:pStyle w:val="Normal"/>
              <w:rPr>
                <w:color w:val="auto"/>
              </w:rPr>
            </w:pPr>
            <w:r>
              <w:rPr>
                <w:color w:val="auto"/>
              </w:rPr>
              <w:t>303</w:t>
            </w:r>
          </w:p>
        </w:tc>
        <w:tc>
          <w:tcPr>
            <w:tcW w:w="1350" w:type="dxa"/>
            <w:tcBorders>
              <w:top w:val="single" w:sz="4" w:space="0" w:color="000000"/>
              <w:start w:val="single" w:sz="4" w:space="0" w:color="C0C0C0"/>
              <w:bottom w:val="single" w:sz="4" w:space="0" w:color="000000"/>
              <w:end w:val="single" w:sz="4" w:space="0" w:color="C0C0C0"/>
            </w:tcBorders>
          </w:tcPr>
          <w:p>
            <w:pPr>
              <w:pStyle w:val="Normal"/>
              <w:rPr>
                <w:color w:val="auto"/>
              </w:rPr>
            </w:pPr>
            <w:r>
              <w:rPr>
                <w:color w:val="auto"/>
              </w:rPr>
              <w:t>303</w:t>
            </w:r>
          </w:p>
        </w:tc>
      </w:tr>
      <w:tr>
        <w:trPr>
          <w:trHeight w:val="323" w:hRule="atLeast"/>
        </w:trPr>
        <w:tc>
          <w:tcPr>
            <w:tcW w:w="2700" w:type="dxa"/>
            <w:tcBorders>
              <w:top w:val="single" w:sz="4" w:space="0" w:color="000000"/>
              <w:end w:val="single" w:sz="6" w:space="0" w:color="000000"/>
            </w:tcBorders>
          </w:tcPr>
          <w:p>
            <w:pPr>
              <w:pStyle w:val="Normal"/>
              <w:rPr>
                <w:color w:val="auto"/>
              </w:rPr>
            </w:pPr>
            <w:r>
              <w:rPr>
                <w:color w:val="auto"/>
              </w:rPr>
              <w:t>Mean</w:t>
            </w:r>
          </w:p>
        </w:tc>
        <w:tc>
          <w:tcPr>
            <w:tcW w:w="1260" w:type="dxa"/>
            <w:tcBorders>
              <w:top w:val="single" w:sz="4" w:space="0" w:color="000000"/>
            </w:tcBorders>
          </w:tcPr>
          <w:p>
            <w:pPr>
              <w:pStyle w:val="Normal"/>
              <w:rPr>
                <w:color w:val="auto"/>
              </w:rPr>
            </w:pPr>
            <w:r>
              <w:rPr>
                <w:color w:val="auto"/>
              </w:rPr>
              <w:t>0.68x10</w:t>
            </w:r>
            <w:r>
              <w:rPr>
                <w:color w:val="auto"/>
                <w:vertAlign w:val="superscript"/>
              </w:rPr>
              <w:t>-3</w:t>
            </w:r>
          </w:p>
        </w:tc>
        <w:tc>
          <w:tcPr>
            <w:tcW w:w="1350" w:type="dxa"/>
            <w:tcBorders>
              <w:top w:val="single" w:sz="4" w:space="0" w:color="000000"/>
              <w:start w:val="single" w:sz="4" w:space="0" w:color="C0C0C0"/>
            </w:tcBorders>
          </w:tcPr>
          <w:p>
            <w:pPr>
              <w:pStyle w:val="Normal"/>
              <w:rPr>
                <w:color w:val="auto"/>
              </w:rPr>
            </w:pPr>
            <w:r>
              <w:rPr>
                <w:color w:val="auto"/>
              </w:rPr>
              <w:t>1.61 x10</w:t>
            </w:r>
            <w:r>
              <w:rPr>
                <w:color w:val="auto"/>
                <w:vertAlign w:val="superscript"/>
              </w:rPr>
              <w:t>-3</w:t>
            </w:r>
          </w:p>
        </w:tc>
        <w:tc>
          <w:tcPr>
            <w:tcW w:w="1350" w:type="dxa"/>
            <w:tcBorders>
              <w:top w:val="single" w:sz="4" w:space="0" w:color="000000"/>
              <w:start w:val="single" w:sz="4" w:space="0" w:color="C0C0C0"/>
              <w:end w:val="single" w:sz="4" w:space="0" w:color="C0C0C0"/>
            </w:tcBorders>
          </w:tcPr>
          <w:p>
            <w:pPr>
              <w:pStyle w:val="Normal"/>
              <w:rPr>
                <w:color w:val="auto"/>
              </w:rPr>
            </w:pPr>
            <w:r>
              <w:rPr>
                <w:color w:val="auto"/>
              </w:rPr>
              <w:t>2.57 x10</w:t>
            </w:r>
            <w:r>
              <w:rPr>
                <w:color w:val="auto"/>
                <w:vertAlign w:val="superscript"/>
              </w:rPr>
              <w:t>-3</w:t>
            </w:r>
          </w:p>
        </w:tc>
      </w:tr>
      <w:tr>
        <w:trPr>
          <w:trHeight w:val="242" w:hRule="atLeast"/>
        </w:trPr>
        <w:tc>
          <w:tcPr>
            <w:tcW w:w="2700" w:type="dxa"/>
            <w:tcBorders>
              <w:top w:val="single" w:sz="4" w:space="0" w:color="000000"/>
              <w:end w:val="single" w:sz="6" w:space="0" w:color="000000"/>
            </w:tcBorders>
          </w:tcPr>
          <w:p>
            <w:pPr>
              <w:pStyle w:val="Normal"/>
              <w:rPr>
                <w:color w:val="auto"/>
              </w:rPr>
            </w:pPr>
            <w:r>
              <w:rPr>
                <w:color w:val="auto"/>
              </w:rPr>
              <w:t>Variance</w:t>
            </w:r>
          </w:p>
        </w:tc>
        <w:tc>
          <w:tcPr>
            <w:tcW w:w="1260" w:type="dxa"/>
            <w:tcBorders>
              <w:top w:val="single" w:sz="4" w:space="0" w:color="000000"/>
            </w:tcBorders>
          </w:tcPr>
          <w:p>
            <w:pPr>
              <w:pStyle w:val="Normal"/>
              <w:rPr>
                <w:color w:val="auto"/>
              </w:rPr>
            </w:pPr>
            <w:r>
              <w:rPr>
                <w:color w:val="auto"/>
              </w:rPr>
              <w:t>0.23</w:t>
            </w:r>
          </w:p>
        </w:tc>
        <w:tc>
          <w:tcPr>
            <w:tcW w:w="1350" w:type="dxa"/>
            <w:tcBorders>
              <w:top w:val="single" w:sz="4" w:space="0" w:color="000000"/>
              <w:start w:val="single" w:sz="4" w:space="0" w:color="C0C0C0"/>
            </w:tcBorders>
          </w:tcPr>
          <w:p>
            <w:pPr>
              <w:pStyle w:val="Normal"/>
              <w:rPr>
                <w:color w:val="auto"/>
              </w:rPr>
            </w:pPr>
            <w:r>
              <w:rPr>
                <w:color w:val="auto"/>
              </w:rPr>
              <w:t>8.52 x10</w:t>
            </w:r>
            <w:r>
              <w:rPr>
                <w:color w:val="auto"/>
                <w:vertAlign w:val="superscript"/>
              </w:rPr>
              <w:t>-4</w:t>
            </w:r>
          </w:p>
        </w:tc>
        <w:tc>
          <w:tcPr>
            <w:tcW w:w="1350" w:type="dxa"/>
            <w:tcBorders>
              <w:top w:val="single" w:sz="4" w:space="0" w:color="000000"/>
              <w:start w:val="single" w:sz="4" w:space="0" w:color="C0C0C0"/>
              <w:end w:val="single" w:sz="4" w:space="0" w:color="C0C0C0"/>
            </w:tcBorders>
          </w:tcPr>
          <w:p>
            <w:pPr>
              <w:pStyle w:val="Normal"/>
              <w:rPr>
                <w:color w:val="auto"/>
              </w:rPr>
            </w:pPr>
            <w:r>
              <w:rPr>
                <w:color w:val="auto"/>
              </w:rPr>
              <w:t>5.29 x10</w:t>
            </w:r>
            <w:r>
              <w:rPr>
                <w:color w:val="auto"/>
                <w:vertAlign w:val="superscript"/>
              </w:rPr>
              <w:t>-4</w:t>
            </w:r>
          </w:p>
        </w:tc>
      </w:tr>
      <w:tr>
        <w:trPr>
          <w:trHeight w:val="350" w:hRule="atLeast"/>
        </w:trPr>
        <w:tc>
          <w:tcPr>
            <w:tcW w:w="2700" w:type="dxa"/>
            <w:tcBorders>
              <w:top w:val="single" w:sz="4" w:space="0" w:color="000000"/>
              <w:end w:val="single" w:sz="6" w:space="0" w:color="000000"/>
            </w:tcBorders>
          </w:tcPr>
          <w:p>
            <w:pPr>
              <w:pStyle w:val="Normal"/>
              <w:rPr>
                <w:color w:val="auto"/>
              </w:rPr>
            </w:pPr>
            <w:r>
              <w:rPr>
                <w:color w:val="auto"/>
              </w:rPr>
              <w:t>Skew</w:t>
            </w:r>
          </w:p>
        </w:tc>
        <w:tc>
          <w:tcPr>
            <w:tcW w:w="1260" w:type="dxa"/>
            <w:tcBorders>
              <w:top w:val="single" w:sz="4" w:space="0" w:color="000000"/>
            </w:tcBorders>
          </w:tcPr>
          <w:p>
            <w:pPr>
              <w:pStyle w:val="Normal"/>
              <w:rPr>
                <w:color w:val="auto"/>
              </w:rPr>
            </w:pPr>
            <w:r>
              <w:rPr>
                <w:color w:val="auto"/>
              </w:rPr>
              <w:t>0.46</w:t>
            </w:r>
          </w:p>
        </w:tc>
        <w:tc>
          <w:tcPr>
            <w:tcW w:w="1350" w:type="dxa"/>
            <w:tcBorders>
              <w:top w:val="single" w:sz="4" w:space="0" w:color="000000"/>
              <w:start w:val="single" w:sz="4" w:space="0" w:color="C0C0C0"/>
            </w:tcBorders>
          </w:tcPr>
          <w:p>
            <w:pPr>
              <w:pStyle w:val="Normal"/>
              <w:rPr>
                <w:color w:val="auto"/>
              </w:rPr>
            </w:pPr>
            <w:r>
              <w:rPr>
                <w:color w:val="auto"/>
              </w:rPr>
              <w:t>-0.07</w:t>
            </w:r>
          </w:p>
        </w:tc>
        <w:tc>
          <w:tcPr>
            <w:tcW w:w="1350" w:type="dxa"/>
            <w:tcBorders>
              <w:top w:val="single" w:sz="4" w:space="0" w:color="000000"/>
              <w:start w:val="single" w:sz="4" w:space="0" w:color="C0C0C0"/>
              <w:end w:val="single" w:sz="4" w:space="0" w:color="C0C0C0"/>
            </w:tcBorders>
          </w:tcPr>
          <w:p>
            <w:pPr>
              <w:pStyle w:val="Normal"/>
              <w:rPr>
                <w:color w:val="auto"/>
              </w:rPr>
            </w:pPr>
            <w:r>
              <w:rPr>
                <w:color w:val="auto"/>
              </w:rPr>
              <w:t>-0.51</w:t>
            </w:r>
          </w:p>
        </w:tc>
      </w:tr>
      <w:tr>
        <w:trPr>
          <w:trHeight w:val="300" w:hRule="atLeast"/>
        </w:trPr>
        <w:tc>
          <w:tcPr>
            <w:tcW w:w="2700" w:type="dxa"/>
            <w:tcBorders>
              <w:bottom w:val="single" w:sz="4" w:space="0" w:color="000000"/>
              <w:end w:val="single" w:sz="6" w:space="0" w:color="000000"/>
            </w:tcBorders>
          </w:tcPr>
          <w:p>
            <w:pPr>
              <w:pStyle w:val="Normal"/>
              <w:rPr>
                <w:color w:val="auto"/>
              </w:rPr>
            </w:pPr>
            <w:r>
              <w:rPr>
                <w:color w:val="auto"/>
              </w:rPr>
              <w:t>Excess Kurtosis</w:t>
            </w:r>
          </w:p>
        </w:tc>
        <w:tc>
          <w:tcPr>
            <w:tcW w:w="1260" w:type="dxa"/>
            <w:tcBorders>
              <w:bottom w:val="single" w:sz="4" w:space="0" w:color="000000"/>
            </w:tcBorders>
          </w:tcPr>
          <w:p>
            <w:pPr>
              <w:pStyle w:val="Normal"/>
              <w:rPr>
                <w:color w:val="auto"/>
              </w:rPr>
            </w:pPr>
            <w:r>
              <w:rPr>
                <w:color w:val="auto"/>
              </w:rPr>
              <w:t>11.98</w:t>
            </w:r>
          </w:p>
        </w:tc>
        <w:tc>
          <w:tcPr>
            <w:tcW w:w="1350" w:type="dxa"/>
            <w:tcBorders>
              <w:start w:val="single" w:sz="4" w:space="0" w:color="C0C0C0"/>
              <w:bottom w:val="single" w:sz="4" w:space="0" w:color="000000"/>
            </w:tcBorders>
          </w:tcPr>
          <w:p>
            <w:pPr>
              <w:pStyle w:val="Normal"/>
              <w:rPr>
                <w:color w:val="auto"/>
              </w:rPr>
            </w:pPr>
            <w:r>
              <w:rPr>
                <w:color w:val="auto"/>
              </w:rPr>
              <w:t>2.00</w:t>
            </w:r>
          </w:p>
        </w:tc>
        <w:tc>
          <w:tcPr>
            <w:tcW w:w="1350" w:type="dxa"/>
            <w:tcBorders>
              <w:start w:val="single" w:sz="4" w:space="0" w:color="C0C0C0"/>
              <w:bottom w:val="single" w:sz="4" w:space="0" w:color="000000"/>
              <w:end w:val="single" w:sz="4" w:space="0" w:color="C0C0C0"/>
            </w:tcBorders>
          </w:tcPr>
          <w:p>
            <w:pPr>
              <w:pStyle w:val="Normal"/>
              <w:rPr>
                <w:color w:val="auto"/>
              </w:rPr>
            </w:pPr>
            <w:r>
              <w:rPr>
                <w:color w:val="auto"/>
              </w:rPr>
              <w:t>1.10</w:t>
            </w:r>
          </w:p>
        </w:tc>
      </w:tr>
    </w:tbl>
    <w:p>
      <w:pPr>
        <w:pStyle w:val="Normal"/>
        <w:spacing w:lineRule="auto" w:line="240"/>
        <w:rPr/>
      </w:pPr>
      <w:r>
        <w:rPr>
          <w:color w:val="auto"/>
        </w:rPr>
        <w:t>*</w:t>
      </w:r>
      <w:r>
        <w:rPr>
          <w:i/>
          <w:color w:val="auto"/>
        </w:rPr>
        <w:t>California peak prices are quoted six days per week excluding holidays, while NYMEX commodity contracts are traded only five days per week excluding holidays</w:t>
      </w:r>
      <w:r>
        <w:rPr>
          <w:color w:val="auto"/>
        </w:rPr>
        <w:t>.</w:t>
      </w:r>
    </w:p>
    <w:p>
      <w:pPr>
        <w:pStyle w:val="Normal"/>
        <w:rPr>
          <w:color w:val="auto"/>
        </w:rPr>
      </w:pPr>
      <w:r>
        <w:rPr>
          <w:color w:val="auto"/>
        </w:rPr>
      </w:r>
    </w:p>
    <w:p>
      <w:pPr>
        <w:pStyle w:val="Normal"/>
        <w:rPr>
          <w:color w:val="auto"/>
        </w:rPr>
      </w:pPr>
      <w:r>
        <w:rPr>
          <w:color w:val="auto"/>
        </w:rPr>
        <w:t>We estimated the parameters for five different models, outlined in Table 3.6, following maximum likelihood methods similar to those described by Jorion (1988) and Das (1995).</w:t>
      </w:r>
    </w:p>
    <w:p>
      <w:pPr>
        <w:pStyle w:val="Normal"/>
        <w:ind w:hanging="720" w:start="720" w:end="0"/>
        <w:rPr/>
      </w:pPr>
      <w:r>
        <w:rPr/>
        <w:t>Table 3.6 Model Specifications</w:t>
      </w:r>
    </w:p>
    <w:tbl>
      <w:tblPr>
        <w:tblW w:w="8910" w:type="dxa"/>
        <w:jc w:val="start"/>
        <w:tblInd w:w="198" w:type="dxa"/>
        <w:tblLayout w:type="fixed"/>
        <w:tblCellMar>
          <w:top w:w="0" w:type="dxa"/>
          <w:start w:w="108" w:type="dxa"/>
          <w:bottom w:w="0" w:type="dxa"/>
          <w:end w:w="108" w:type="dxa"/>
        </w:tblCellMar>
      </w:tblPr>
      <w:tblGrid>
        <w:gridCol w:w="3330"/>
        <w:gridCol w:w="1890"/>
        <w:gridCol w:w="2430"/>
        <w:gridCol w:w="1260"/>
      </w:tblGrid>
      <w:tr>
        <w:trPr>
          <w:trHeight w:val="375" w:hRule="atLeast"/>
        </w:trPr>
        <w:tc>
          <w:tcPr>
            <w:tcW w:w="3330" w:type="dxa"/>
            <w:tcBorders>
              <w:top w:val="single" w:sz="12" w:space="0" w:color="000000"/>
              <w:bottom w:val="single" w:sz="6" w:space="0" w:color="000000"/>
            </w:tcBorders>
          </w:tcPr>
          <w:p>
            <w:pPr>
              <w:pStyle w:val="Normal"/>
              <w:tabs>
                <w:tab w:val="clear" w:pos="720"/>
                <w:tab w:val="left" w:pos="612" w:leader="none"/>
              </w:tabs>
              <w:snapToGrid w:val="false"/>
              <w:ind w:start="-108" w:end="0"/>
              <w:rPr>
                <w:i/>
                <w:i/>
                <w:color w:val="auto"/>
              </w:rPr>
            </w:pPr>
            <w:r>
              <w:rPr>
                <w:i/>
                <w:color w:val="auto"/>
              </w:rPr>
            </w:r>
          </w:p>
        </w:tc>
        <w:tc>
          <w:tcPr>
            <w:tcW w:w="189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Return process</w:t>
            </w:r>
          </w:p>
        </w:tc>
        <w:tc>
          <w:tcPr>
            <w:tcW w:w="243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Volatility process</w:t>
            </w:r>
          </w:p>
        </w:tc>
        <w:tc>
          <w:tcPr>
            <w:tcW w:w="1260" w:type="dxa"/>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Equation Reference</w:t>
            </w:r>
          </w:p>
        </w:tc>
      </w:tr>
      <w:tr>
        <w:trPr>
          <w:trHeight w:val="75" w:hRule="atLeast"/>
        </w:trPr>
        <w:tc>
          <w:tcPr>
            <w:tcW w:w="3330" w:type="dxa"/>
            <w:tcBorders>
              <w:bottom w:val="single" w:sz="4" w:space="0" w:color="000000"/>
              <w:end w:val="single" w:sz="6" w:space="0" w:color="000000"/>
            </w:tcBorders>
          </w:tcPr>
          <w:p>
            <w:pPr>
              <w:pStyle w:val="Normal"/>
              <w:rPr>
                <w:color w:val="auto"/>
              </w:rPr>
            </w:pPr>
            <w:r>
              <w:rPr>
                <w:color w:val="auto"/>
              </w:rPr>
              <w:t xml:space="preserve">Pure Diffusion (PD) </w:t>
            </w:r>
          </w:p>
        </w:tc>
        <w:tc>
          <w:tcPr>
            <w:tcW w:w="1890" w:type="dxa"/>
            <w:tcBorders>
              <w:bottom w:val="single" w:sz="4" w:space="0" w:color="000000"/>
              <w:end w:val="single" w:sz="4" w:space="0" w:color="C0C0C0"/>
            </w:tcBorders>
          </w:tcPr>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m:oMathPara>
          </w:p>
        </w:tc>
        <w:tc>
          <w:tcPr>
            <w:tcW w:w="2430" w:type="dxa"/>
            <w:tcBorders>
              <w:bottom w:val="single" w:sz="4" w:space="0" w:color="000000"/>
              <w:end w:val="single" w:sz="4" w:space="0" w:color="C0C0C0"/>
            </w:tcBorders>
          </w:tcPr>
          <w:p>
            <w:pPr>
              <w:pStyle w:val="Normal"/>
              <w:jc w:val="center"/>
              <w:rPr>
                <w:color w:val="auto"/>
              </w:rPr>
            </w:pPr>
            <w:r>
              <w:rPr>
                <w:color w:val="auto"/>
              </w:rPr>
            </w:r>
            <m:oMath xmlns:m="http://schemas.openxmlformats.org/officeDocument/2006/math">
              <m:r>
                <m:t xml:space="preserve">σ</m:t>
              </m:r>
            </m:oMath>
            <w:r>
              <w:rPr>
                <w:color w:val="auto"/>
              </w:rPr>
              <w:t xml:space="preserve"> </w:t>
            </w:r>
            <w:r>
              <w:rPr>
                <w:color w:val="auto"/>
              </w:rPr>
              <w:t>constant</w:t>
            </w:r>
          </w:p>
        </w:tc>
        <w:tc>
          <w:tcPr>
            <w:tcW w:w="1260" w:type="dxa"/>
            <w:tcBorders>
              <w:bottom w:val="single" w:sz="4" w:space="0" w:color="000000"/>
              <w:end w:val="single" w:sz="4" w:space="0" w:color="C0C0C0"/>
            </w:tcBorders>
          </w:tcPr>
          <w:p>
            <w:pPr>
              <w:pStyle w:val="Normal"/>
              <w:jc w:val="center"/>
              <w:rPr>
                <w:color w:val="auto"/>
              </w:rPr>
            </w:pPr>
            <w:r>
              <w:rPr>
                <w:color w:val="auto"/>
              </w:rPr>
              <w:t>3.13(?)</w:t>
            </w:r>
          </w:p>
        </w:tc>
      </w:tr>
      <w:tr>
        <w:trPr>
          <w:trHeight w:val="255" w:hRule="atLeast"/>
        </w:trPr>
        <w:tc>
          <w:tcPr>
            <w:tcW w:w="3330" w:type="dxa"/>
            <w:tcBorders>
              <w:top w:val="single" w:sz="4" w:space="0" w:color="000000"/>
              <w:bottom w:val="single" w:sz="4" w:space="0" w:color="000000"/>
              <w:end w:val="single" w:sz="6" w:space="0" w:color="000000"/>
            </w:tcBorders>
          </w:tcPr>
          <w:p>
            <w:pPr>
              <w:pStyle w:val="Normal"/>
              <w:rPr>
                <w:color w:val="auto"/>
              </w:rPr>
            </w:pPr>
            <w:r>
              <w:rPr>
                <w:color w:val="auto"/>
              </w:rPr>
              <w:t>Jump Diffusion (JD)*</w:t>
            </w:r>
          </w:p>
        </w:tc>
        <w:tc>
          <w:tcPr>
            <w:tcW w:w="1890" w:type="dxa"/>
            <w:tcBorders>
              <w:top w:val="single" w:sz="4" w:space="0" w:color="000000"/>
              <w:bottom w:val="single" w:sz="4" w:space="0" w:color="000000"/>
            </w:tcBorders>
          </w:tcPr>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m:oMathPara>
          </w:p>
        </w:tc>
        <w:tc>
          <w:tcPr>
            <w:tcW w:w="2430" w:type="dxa"/>
            <w:tcBorders>
              <w:top w:val="single" w:sz="4" w:space="0" w:color="000000"/>
              <w:start w:val="single" w:sz="4" w:space="0" w:color="C0C0C0"/>
              <w:bottom w:val="single" w:sz="4" w:space="0" w:color="000000"/>
            </w:tcBorders>
          </w:tcPr>
          <w:p>
            <w:pPr>
              <w:pStyle w:val="Normal"/>
              <w:jc w:val="center"/>
              <w:rPr>
                <w:color w:val="auto"/>
              </w:rPr>
            </w:pPr>
            <w:r>
              <w:rPr>
                <w:color w:val="auto"/>
              </w:rPr>
            </w:r>
            <m:oMath xmlns:m="http://schemas.openxmlformats.org/officeDocument/2006/math">
              <m:r>
                <m:t xml:space="preserve">σ</m:t>
              </m:r>
            </m:oMath>
            <w:r>
              <w:rPr>
                <w:color w:val="auto"/>
              </w:rPr>
              <w:t xml:space="preserve"> </w:t>
            </w:r>
            <w:r>
              <w:rPr>
                <w:color w:val="auto"/>
              </w:rPr>
              <w:t>constant</w:t>
            </w:r>
          </w:p>
        </w:tc>
        <w:tc>
          <w:tcPr>
            <w:tcW w:w="1260" w:type="dxa"/>
            <w:tcBorders>
              <w:top w:val="single" w:sz="4" w:space="0" w:color="000000"/>
              <w:start w:val="single" w:sz="4" w:space="0" w:color="C0C0C0"/>
              <w:bottom w:val="single" w:sz="4" w:space="0" w:color="000000"/>
              <w:end w:val="single" w:sz="4" w:space="0" w:color="C0C0C0"/>
            </w:tcBorders>
          </w:tcPr>
          <w:p>
            <w:pPr>
              <w:pStyle w:val="Normal"/>
              <w:rPr>
                <w:color w:val="auto"/>
              </w:rPr>
            </w:pPr>
            <w:r>
              <w:rPr>
                <w:color w:val="auto"/>
              </w:rPr>
              <w:t>(?)</w:t>
            </w:r>
          </w:p>
        </w:tc>
      </w:tr>
      <w:tr>
        <w:trPr>
          <w:trHeight w:val="323" w:hRule="atLeast"/>
        </w:trPr>
        <w:tc>
          <w:tcPr>
            <w:tcW w:w="3330" w:type="dxa"/>
            <w:tcBorders>
              <w:top w:val="single" w:sz="4" w:space="0" w:color="000000"/>
              <w:end w:val="single" w:sz="6" w:space="0" w:color="000000"/>
            </w:tcBorders>
          </w:tcPr>
          <w:p>
            <w:pPr>
              <w:pStyle w:val="Normal"/>
              <w:rPr>
                <w:color w:val="auto"/>
              </w:rPr>
            </w:pPr>
            <w:r>
              <w:rPr>
                <w:color w:val="auto"/>
              </w:rPr>
              <w:t>Diffusion + ARCH(1) (D+Arch)</w:t>
            </w:r>
          </w:p>
        </w:tc>
        <w:tc>
          <w:tcPr>
            <w:tcW w:w="1890" w:type="dxa"/>
            <w:tcBorders>
              <w:top w:val="single" w:sz="4" w:space="0" w:color="000000"/>
            </w:tcBorders>
          </w:tcPr>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t xml:space="preserve">σ</m:t>
                    </m:r>
                  </m:e>
                  <m:sub>
                    <m:r>
                      <m:t xml:space="preserve">t</m:t>
                    </m:r>
                  </m:sub>
                </m:sSub>
                <m:sSub>
                  <m:e>
                    <m:r>
                      <m:t xml:space="preserve">ε</m:t>
                    </m:r>
                  </m:e>
                  <m:sub>
                    <m:r>
                      <m:t xml:space="preserve">t</m:t>
                    </m:r>
                  </m:sub>
                </m:sSub>
              </m:oMath>
            </m:oMathPara>
          </w:p>
        </w:tc>
        <w:tc>
          <w:tcPr>
            <w:tcW w:w="2430" w:type="dxa"/>
            <w:tcBorders>
              <w:top w:val="single" w:sz="4" w:space="0" w:color="000000"/>
              <w:start w:val="single" w:sz="4" w:space="0" w:color="C0C0C0"/>
            </w:tcBorders>
          </w:tcPr>
          <w:p>
            <w:pPr>
              <w:pStyle w:val="Normal"/>
              <w:jc w:val="center"/>
              <w:rPr>
                <w:color w:val="auto"/>
              </w:rPr>
            </w:pPr>
            <w:r>
              <w:rPr>
                <w:color w:val="auto"/>
              </w:rPr>
            </w:r>
            <m:oMathPara xmlns:m="http://schemas.openxmlformats.org/officeDocument/2006/math">
              <m:oMathParaPr>
                <m:jc m:val="center"/>
              </m:oMathParaPr>
              <m:o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oMath>
            </m:oMathPara>
          </w:p>
        </w:tc>
        <w:tc>
          <w:tcPr>
            <w:tcW w:w="1260" w:type="dxa"/>
            <w:tcBorders>
              <w:top w:val="single" w:sz="4" w:space="0" w:color="000000"/>
              <w:start w:val="single" w:sz="4" w:space="0" w:color="C0C0C0"/>
              <w:end w:val="single" w:sz="4" w:space="0" w:color="C0C0C0"/>
            </w:tcBorders>
          </w:tcPr>
          <w:p>
            <w:pPr>
              <w:pStyle w:val="Normal"/>
              <w:jc w:val="center"/>
              <w:rPr>
                <w:color w:val="auto"/>
              </w:rPr>
            </w:pPr>
            <w:r>
              <w:rPr>
                <w:color w:val="auto"/>
              </w:rPr>
              <w:t>3.14</w:t>
            </w:r>
          </w:p>
        </w:tc>
      </w:tr>
      <w:tr>
        <w:trPr>
          <w:trHeight w:val="242" w:hRule="atLeast"/>
        </w:trPr>
        <w:tc>
          <w:tcPr>
            <w:tcW w:w="3330" w:type="dxa"/>
            <w:tcBorders>
              <w:top w:val="single" w:sz="4" w:space="0" w:color="000000"/>
              <w:end w:val="single" w:sz="6" w:space="0" w:color="000000"/>
            </w:tcBorders>
          </w:tcPr>
          <w:p>
            <w:pPr>
              <w:pStyle w:val="Normal"/>
              <w:rPr>
                <w:color w:val="auto"/>
              </w:rPr>
            </w:pPr>
            <w:r>
              <w:rPr>
                <w:color w:val="auto"/>
              </w:rPr>
              <w:t>Diffusion + GARCH(1,1) (D+Garch)</w:t>
            </w:r>
          </w:p>
        </w:tc>
        <w:tc>
          <w:tcPr>
            <w:tcW w:w="1890" w:type="dxa"/>
            <w:tcBorders>
              <w:top w:val="single" w:sz="4" w:space="0" w:color="000000"/>
            </w:tcBorders>
          </w:tcPr>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t xml:space="preserve">σ</m:t>
                    </m:r>
                  </m:e>
                  <m:sub>
                    <m:r>
                      <m:t xml:space="preserve">t</m:t>
                    </m:r>
                  </m:sub>
                </m:sSub>
                <m:sSub>
                  <m:e>
                    <m:r>
                      <m:t xml:space="preserve">ε</m:t>
                    </m:r>
                  </m:e>
                  <m:sub>
                    <m:r>
                      <m:t xml:space="preserve">t</m:t>
                    </m:r>
                  </m:sub>
                </m:sSub>
              </m:oMath>
            </m:oMathPara>
          </w:p>
        </w:tc>
        <w:tc>
          <w:tcPr>
            <w:tcW w:w="2430" w:type="dxa"/>
            <w:tcBorders>
              <w:top w:val="single" w:sz="4" w:space="0" w:color="000000"/>
              <w:start w:val="single" w:sz="4" w:space="0" w:color="C0C0C0"/>
            </w:tcBorders>
          </w:tcPr>
          <w:p>
            <w:pPr>
              <w:pStyle w:val="Normal"/>
              <w:jc w:val="center"/>
              <w:rPr>
                <w:color w:val="auto"/>
              </w:rPr>
            </w:pPr>
            <w:r>
              <w:rPr>
                <w:color w:val="auto"/>
              </w:rPr>
            </w:r>
            <m:oMathPara xmlns:m="http://schemas.openxmlformats.org/officeDocument/2006/math">
              <m:oMathParaPr>
                <m:jc m:val="center"/>
              </m:oMathParaPr>
              <m:o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m:oMathPara>
          </w:p>
        </w:tc>
        <w:tc>
          <w:tcPr>
            <w:tcW w:w="1260" w:type="dxa"/>
            <w:tcBorders>
              <w:top w:val="single" w:sz="4" w:space="0" w:color="000000"/>
              <w:start w:val="single" w:sz="4" w:space="0" w:color="C0C0C0"/>
              <w:end w:val="single" w:sz="4" w:space="0" w:color="C0C0C0"/>
            </w:tcBorders>
          </w:tcPr>
          <w:p>
            <w:pPr>
              <w:pStyle w:val="Normal"/>
              <w:jc w:val="center"/>
              <w:rPr>
                <w:color w:val="auto"/>
              </w:rPr>
            </w:pPr>
            <w:r>
              <w:rPr>
                <w:color w:val="auto"/>
              </w:rPr>
              <w:t>3.16</w:t>
            </w:r>
          </w:p>
        </w:tc>
      </w:tr>
      <w:tr>
        <w:trPr>
          <w:trHeight w:val="350" w:hRule="atLeast"/>
        </w:trPr>
        <w:tc>
          <w:tcPr>
            <w:tcW w:w="3330" w:type="dxa"/>
            <w:tcBorders>
              <w:top w:val="single" w:sz="4" w:space="0" w:color="000000"/>
              <w:bottom w:val="single" w:sz="12" w:space="0" w:color="000000"/>
              <w:end w:val="single" w:sz="6" w:space="0" w:color="000000"/>
            </w:tcBorders>
          </w:tcPr>
          <w:p>
            <w:pPr>
              <w:pStyle w:val="Normal"/>
              <w:rPr>
                <w:color w:val="auto"/>
              </w:rPr>
            </w:pPr>
            <w:r>
              <w:rPr>
                <w:color w:val="auto"/>
              </w:rPr>
              <w:t>Jump Diffusion + GARCH(1,1)  (JD+Garch)*</w:t>
            </w:r>
          </w:p>
        </w:tc>
        <w:tc>
          <w:tcPr>
            <w:tcW w:w="1890" w:type="dxa"/>
            <w:tcBorders>
              <w:top w:val="single" w:sz="4" w:space="0" w:color="000000"/>
              <w:bottom w:val="single" w:sz="12" w:space="0" w:color="000000"/>
            </w:tcBorders>
          </w:tcPr>
          <w:p>
            <w:pPr>
              <w:pStyle w:val="Normal"/>
              <w:jc w:val="center"/>
              <w:rPr>
                <w:color w:val="auto"/>
              </w:rPr>
            </w:pPr>
            <w:r>
              <w:rPr>
                <w:color w:val="auto"/>
              </w:rPr>
            </w:r>
            <m:oMathPara xmlns:m="http://schemas.openxmlformats.org/officeDocument/2006/math">
              <m:oMathParaPr>
                <m:jc m:val="center"/>
              </m:oMathParaPr>
              <m:oMath>
                <m:sSub>
                  <m:e>
                    <m:r>
                      <m:t xml:space="preserve">y</m:t>
                    </m:r>
                  </m:e>
                  <m:sub>
                    <m:r>
                      <m:t xml:space="preserve">t</m:t>
                    </m:r>
                  </m:sub>
                </m:sSub>
                <m:r>
                  <m:t xml:space="preserve">=</m:t>
                </m:r>
                <m:r>
                  <m:t xml:space="preserve">κ</m:t>
                </m:r>
                <m:r>
                  <m:t xml:space="preserve">+</m:t>
                </m:r>
                <m:sSub>
                  <m:e>
                    <m:r>
                      <m:t xml:space="preserve">σ</m:t>
                    </m:r>
                  </m:e>
                  <m:sub>
                    <m:r>
                      <m:t xml:space="preserve">t</m:t>
                    </m:r>
                  </m:sub>
                </m:sSub>
                <m:sSub>
                  <m:e>
                    <m:r>
                      <m:t xml:space="preserve">ε</m:t>
                    </m:r>
                  </m:e>
                  <m:sub>
                    <m:r>
                      <m:t xml:space="preserve">t</m:t>
                    </m:r>
                  </m:sub>
                </m:sSub>
              </m:oMath>
            </m:oMathPara>
          </w:p>
        </w:tc>
        <w:tc>
          <w:tcPr>
            <w:tcW w:w="2430" w:type="dxa"/>
            <w:tcBorders>
              <w:top w:val="single" w:sz="4" w:space="0" w:color="000000"/>
              <w:start w:val="single" w:sz="4" w:space="0" w:color="C0C0C0"/>
              <w:bottom w:val="single" w:sz="12" w:space="0" w:color="000000"/>
            </w:tcBorders>
          </w:tcPr>
          <w:p>
            <w:pPr>
              <w:pStyle w:val="Normal"/>
              <w:jc w:val="center"/>
              <w:rPr>
                <w:color w:val="auto"/>
              </w:rPr>
            </w:pPr>
            <w:r>
              <w:rPr>
                <w:color w:val="auto"/>
              </w:rPr>
            </w:r>
            <m:oMathPara xmlns:m="http://schemas.openxmlformats.org/officeDocument/2006/math">
              <m:oMathParaPr>
                <m:jc m:val="center"/>
              </m:oMathParaPr>
              <m:o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m:oMathPara>
          </w:p>
        </w:tc>
        <w:tc>
          <w:tcPr>
            <w:tcW w:w="1260" w:type="dxa"/>
            <w:tcBorders>
              <w:top w:val="single" w:sz="4" w:space="0" w:color="000000"/>
              <w:start w:val="single" w:sz="4" w:space="0" w:color="C0C0C0"/>
              <w:bottom w:val="single" w:sz="12" w:space="0" w:color="000000"/>
              <w:end w:val="single" w:sz="4" w:space="0" w:color="C0C0C0"/>
            </w:tcBorders>
          </w:tcPr>
          <w:p>
            <w:pPr>
              <w:pStyle w:val="Normal"/>
              <w:snapToGrid w:val="false"/>
              <w:rPr>
                <w:color w:val="auto"/>
              </w:rPr>
            </w:pPr>
            <w:r>
              <w:rPr>
                <w:color w:val="auto"/>
              </w:rPr>
            </w:r>
          </w:p>
        </w:tc>
      </w:tr>
    </w:tbl>
    <w:p>
      <w:pPr>
        <w:pStyle w:val="Normal"/>
        <w:spacing w:lineRule="auto" w:line="240"/>
        <w:rPr>
          <w:i/>
          <w:i/>
          <w:color w:val="auto"/>
        </w:rPr>
      </w:pPr>
      <w:r>
        <w:rPr>
          <w:i/>
          <w:color w:val="auto"/>
        </w:rPr>
        <w:t xml:space="preserve">* In the case of Jump Diffusion, the last term is the product of J, a Bernoulli distributed random variable with a probability </w:t>
      </w:r>
      <w:r>
        <w:rPr>
          <w:rFonts w:eastAsia="Symbol" w:cs="Symbol" w:ascii="Symbol" w:hAnsi="Symbol"/>
          <w:i/>
          <w:color w:val="auto"/>
        </w:rPr>
        <w:sym w:font="Symbol" w:char="f066"/>
      </w:r>
      <w:r>
        <w:rPr>
          <w:i/>
          <w:color w:val="auto"/>
        </w:rPr>
        <w:t xml:space="preserve"> of being one and probability (1-</w:t>
      </w:r>
      <w:r>
        <w:rPr>
          <w:rFonts w:eastAsia="Symbol" w:cs="Symbol" w:ascii="Symbol" w:hAnsi="Symbol"/>
          <w:i/>
          <w:color w:val="auto"/>
        </w:rPr>
        <w:sym w:font="Symbol" w:char="f066"/>
      </w:r>
      <w:r>
        <w:rPr>
          <w:i/>
          <w:color w:val="auto"/>
        </w:rPr>
        <w:t>) of being zero, and q, a random number distributed as N(</w:t>
      </w:r>
      <w:r>
        <w:rPr>
          <w:rFonts w:eastAsia="Symbol" w:cs="Symbol" w:ascii="Symbol" w:hAnsi="Symbol"/>
          <w:i/>
          <w:color w:val="auto"/>
        </w:rPr>
        <w:sym w:font="Symbol" w:char="f06d"/>
      </w:r>
      <w:r>
        <w:rPr>
          <w:i/>
          <w:color w:val="auto"/>
        </w:rPr>
        <w:t xml:space="preserve">, </w:t>
      </w:r>
      <w:r>
        <w:rPr>
          <w:rFonts w:eastAsia="Symbol" w:cs="Symbol" w:ascii="Symbol" w:hAnsi="Symbol"/>
          <w:i/>
          <w:color w:val="auto"/>
        </w:rPr>
        <w:sym w:font="Symbol" w:char="f067"/>
      </w:r>
      <w:r>
        <w:rPr>
          <w:i/>
          <w:color w:val="auto"/>
          <w:vertAlign w:val="superscript"/>
        </w:rPr>
        <w:t>2</w:t>
      </w:r>
      <w:r>
        <w:rPr>
          <w:i/>
          <w:color w:val="auto"/>
        </w:rPr>
        <w:t>).</w:t>
      </w:r>
      <w:r>
        <w:rPr>
          <w:rStyle w:val="FootnoteCharacters"/>
          <w:rStyle w:val="FootnoteReference"/>
          <w:i/>
          <w:color w:val="auto"/>
        </w:rPr>
        <w:footnoteReference w:id="3"/>
      </w:r>
    </w:p>
    <w:p>
      <w:pPr>
        <w:pStyle w:val="Normal"/>
        <w:rPr>
          <w:i/>
          <w:i/>
          <w:color w:val="auto"/>
        </w:rPr>
      </w:pPr>
      <w:r>
        <w:rPr>
          <w:i/>
          <w:color w:val="auto"/>
        </w:rPr>
      </w:r>
    </w:p>
    <w:p>
      <w:pPr>
        <w:pStyle w:val="Normal"/>
        <w:rPr>
          <w:color w:val="auto"/>
        </w:rPr>
      </w:pPr>
      <w:r>
        <w:rPr>
          <w:color w:val="auto"/>
        </w:rPr>
        <w:t>In general, we employed the "BHHH" algorithm developed by Berndt, Hall, Hall, and Hausman (1974) to perform the regressions.  The BHHH technique is essentially a gradient search method appropriate for maximising the log likelihood.  Although usually robust, we found the BHHH method failed to converge for some data sets and model choices. In some cases, we were able to achieve convergence by first using a standard Simplex search of the parameter space to determine the location of the global maximum.  The results of the Simplex search were then used as starting points for the BHHH algorithm.</w:t>
      </w:r>
    </w:p>
    <w:p>
      <w:pPr>
        <w:pStyle w:val="Normal"/>
        <w:rPr>
          <w:color w:val="auto"/>
        </w:rPr>
      </w:pPr>
      <w:r>
        <w:rPr>
          <w:color w:val="auto"/>
        </w:rPr>
      </w:r>
    </w:p>
    <w:p>
      <w:pPr>
        <w:pStyle w:val="Normal"/>
        <w:rPr/>
      </w:pPr>
      <w:r>
        <w:rPr>
          <w:color w:val="auto"/>
        </w:rPr>
        <w:t>The relative goodness of fit for different models can be compared using the likelihood ratio test. Under the null hypothesis that the enlarged parameter space does not improve the fit to the data, the ratio test statistic is defined as -2</w:t>
      </w:r>
      <w:r>
        <w:rPr>
          <w:rFonts w:eastAsia="Symbol" w:cs="Symbol" w:ascii="Symbol" w:hAnsi="Symbol"/>
          <w:color w:val="auto"/>
        </w:rPr>
        <w:sym w:font="Symbol" w:char="f044"/>
      </w:r>
      <w:r>
        <w:rPr>
          <w:color w:val="auto"/>
        </w:rPr>
        <w:t>L(</w:t>
      </w:r>
      <w:r>
        <w:rPr>
          <w:rFonts w:eastAsia="Symbol" w:cs="Symbol" w:ascii="Symbol" w:hAnsi="Symbol"/>
          <w:color w:val="auto"/>
        </w:rPr>
        <w:sym w:font="Symbol" w:char="f071"/>
      </w:r>
      <w:r>
        <w:rPr>
          <w:color w:val="auto"/>
        </w:rPr>
        <w:t xml:space="preserve">,y), where </w:t>
      </w:r>
      <w:r>
        <w:rPr>
          <w:rFonts w:eastAsia="Symbol" w:cs="Symbol" w:ascii="Symbol" w:hAnsi="Symbol"/>
          <w:color w:val="auto"/>
        </w:rPr>
        <w:sym w:font="Symbol" w:char="f044"/>
      </w:r>
      <w:r>
        <w:rPr>
          <w:color w:val="auto"/>
        </w:rPr>
        <w:t>L(</w:t>
      </w:r>
      <w:r>
        <w:rPr>
          <w:rFonts w:eastAsia="Symbol" w:cs="Symbol" w:ascii="Symbol" w:hAnsi="Symbol"/>
          <w:color w:val="auto"/>
        </w:rPr>
        <w:sym w:font="Symbol" w:char="f071"/>
      </w:r>
      <w:r>
        <w:rPr>
          <w:color w:val="auto"/>
        </w:rPr>
        <w:t xml:space="preserve">,y) is the difference between the two log likelihood function values. This test statistic has a chi-square distribution with degrees of freedom equal to the difference in the number of parameters estimated between the two spaces. Another related measurement of fit is the Schwarz criterion (Schwarz (1978)) defined as: </w:t>
      </w:r>
    </w:p>
    <w:p>
      <w:pPr>
        <w:pStyle w:val="Normal"/>
        <w:jc w:val="end"/>
        <w:rPr/>
      </w:pPr>
      <w:r>
        <w:rPr>
          <w:color w:val="auto"/>
        </w:rPr>
      </w:r>
      <m:oMath xmlns:m="http://schemas.openxmlformats.org/officeDocument/2006/math">
        <m:r>
          <m:rPr>
            <m:lit/>
            <m:nor/>
          </m:rPr>
          <m:t xml:space="preserve">SC</m:t>
        </m:r>
        <m:r>
          <m:t xml:space="preserve">=</m:t>
        </m:r>
        <m:r>
          <m:t xml:space="preserve">−</m:t>
        </m:r>
        <m:r>
          <m:t xml:space="preserve">2</m:t>
        </m:r>
        <m:r>
          <m:t xml:space="preserve">L</m:t>
        </m:r>
        <m:d>
          <m:dPr>
            <m:begChr m:val="("/>
            <m:endChr m:val=")"/>
          </m:dPr>
          <m:e>
            <m:r>
              <m:t xml:space="preserve">θ</m:t>
            </m:r>
            <m:r>
              <m:t xml:space="preserve">;</m:t>
            </m:r>
            <m:r>
              <m:t xml:space="preserve">y</m:t>
            </m:r>
          </m:e>
        </m:d>
        <m:r>
          <m:t xml:space="preserve">+</m:t>
        </m:r>
        <m:r>
          <m:t xml:space="preserve">k</m:t>
        </m:r>
        <m:r>
          <m:rPr>
            <m:lit/>
            <m:nor/>
          </m:rPr>
          <m:t xml:space="preserve">ln</m:t>
        </m:r>
        <m:r>
          <m:t xml:space="preserve">N</m:t>
        </m:r>
      </m:oMath>
      <w:r>
        <w:rPr>
          <w:color w:val="auto"/>
        </w:rPr>
        <w:t xml:space="preserve"> </w:t>
      </w:r>
      <w:r>
        <w:rPr>
          <w:color w:val="auto"/>
        </w:rPr>
        <w:tab/>
        <w:tab/>
        <w:tab/>
        <w:tab/>
        <w:t>(3.38)</w:t>
      </w:r>
    </w:p>
    <w:p>
      <w:pPr>
        <w:pStyle w:val="Normal"/>
        <w:rPr>
          <w:color w:val="auto"/>
        </w:rPr>
      </w:pPr>
      <w:r>
        <w:rPr>
          <w:color w:val="auto"/>
        </w:rPr>
      </w:r>
    </w:p>
    <w:p>
      <w:pPr>
        <w:pStyle w:val="Normal"/>
        <w:rPr/>
      </w:pPr>
      <w:r>
        <w:rPr>
          <w:color w:val="auto"/>
        </w:rPr>
        <w:t>where L(</w:t>
      </w:r>
      <w:r>
        <w:rPr>
          <w:rFonts w:eastAsia="Symbol" w:cs="Symbol" w:ascii="Symbol" w:hAnsi="Symbol"/>
          <w:color w:val="auto"/>
        </w:rPr>
        <w:sym w:font="Symbol" w:char="f071"/>
      </w:r>
      <w:r>
        <w:rPr>
          <w:color w:val="auto"/>
        </w:rPr>
        <w:t>; y) represents the likelihood function, k is the number of parameters to be estimated and N is the number of observations. The Schwarz criterion accommodates the trade-off between better fit and more parameters by penalising the model with larger number of parameters. The most probable model is the one with the smallest Schwarz criterion. Table 3.7 shows the Maximum Likelihood results of the fitting procedure together with Schwarz criteria for each model and commodity.</w:t>
      </w:r>
    </w:p>
    <w:p>
      <w:pPr>
        <w:pStyle w:val="Normal"/>
        <w:rPr>
          <w:color w:val="auto"/>
        </w:rPr>
      </w:pPr>
      <w:r>
        <w:rPr>
          <w:color w:val="auto"/>
        </w:rPr>
      </w:r>
    </w:p>
    <w:p>
      <w:pPr>
        <w:pStyle w:val="Normal"/>
        <w:rPr/>
      </w:pPr>
      <w:bookmarkStart w:id="28" w:name="_Ref485392517"/>
      <w:r>
        <w:rPr/>
        <w:t>Table 3.</w:t>
      </w:r>
      <w:bookmarkEnd w:id="28"/>
      <w:r>
        <w:rPr/>
        <w:t xml:space="preserve">7 Maximum Log likelihood Values and Schwarz Criteria (SC) </w:t>
      </w:r>
    </w:p>
    <w:tbl>
      <w:tblPr>
        <w:tblW w:w="8280" w:type="dxa"/>
        <w:jc w:val="start"/>
        <w:tblInd w:w="468" w:type="dxa"/>
        <w:tblLayout w:type="fixed"/>
        <w:tblCellMar>
          <w:top w:w="0" w:type="dxa"/>
          <w:start w:w="108" w:type="dxa"/>
          <w:bottom w:w="0" w:type="dxa"/>
          <w:end w:w="108" w:type="dxa"/>
        </w:tblCellMar>
      </w:tblPr>
      <w:tblGrid>
        <w:gridCol w:w="2430"/>
        <w:gridCol w:w="990"/>
        <w:gridCol w:w="900"/>
        <w:gridCol w:w="990"/>
        <w:gridCol w:w="990"/>
        <w:gridCol w:w="1083"/>
        <w:gridCol w:w="897"/>
      </w:tblGrid>
      <w:tr>
        <w:trPr>
          <w:trHeight w:val="300" w:hRule="atLeast"/>
        </w:trPr>
        <w:tc>
          <w:tcPr>
            <w:tcW w:w="2430" w:type="dxa"/>
            <w:tcBorders>
              <w:top w:val="single" w:sz="12" w:space="0" w:color="000000"/>
              <w:bottom w:val="single" w:sz="6" w:space="0" w:color="000000"/>
            </w:tcBorders>
          </w:tcPr>
          <w:p>
            <w:pPr>
              <w:pStyle w:val="Normal"/>
              <w:snapToGrid w:val="false"/>
              <w:rPr>
                <w:color w:val="auto"/>
              </w:rPr>
            </w:pPr>
            <w:r>
              <w:rPr>
                <w:color w:val="auto"/>
              </w:rPr>
            </w:r>
          </w:p>
        </w:tc>
        <w:tc>
          <w:tcPr>
            <w:tcW w:w="1890" w:type="dxa"/>
            <w:gridSpan w:val="2"/>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NP15</w:t>
            </w:r>
          </w:p>
        </w:tc>
        <w:tc>
          <w:tcPr>
            <w:tcW w:w="1980" w:type="dxa"/>
            <w:gridSpan w:val="2"/>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Gas</w:t>
            </w:r>
          </w:p>
        </w:tc>
        <w:tc>
          <w:tcPr>
            <w:tcW w:w="1980" w:type="dxa"/>
            <w:gridSpan w:val="2"/>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Crude</w:t>
            </w:r>
          </w:p>
        </w:tc>
      </w:tr>
      <w:tr>
        <w:trPr>
          <w:trHeight w:val="300" w:hRule="atLeast"/>
        </w:trPr>
        <w:tc>
          <w:tcPr>
            <w:tcW w:w="2430" w:type="dxa"/>
            <w:tcBorders>
              <w:bottom w:val="single" w:sz="4" w:space="0" w:color="000000"/>
              <w:end w:val="single" w:sz="6" w:space="0" w:color="000000"/>
            </w:tcBorders>
          </w:tcPr>
          <w:p>
            <w:pPr>
              <w:pStyle w:val="Normal"/>
              <w:snapToGrid w:val="false"/>
              <w:rPr>
                <w:color w:val="auto"/>
              </w:rPr>
            </w:pPr>
            <w:r>
              <w:rPr>
                <w:color w:val="auto"/>
              </w:rPr>
            </w:r>
          </w:p>
        </w:tc>
        <w:tc>
          <w:tcPr>
            <w:tcW w:w="990" w:type="dxa"/>
            <w:tcBorders>
              <w:bottom w:val="single" w:sz="4" w:space="0" w:color="000000"/>
              <w:end w:val="single" w:sz="4" w:space="0" w:color="000000"/>
            </w:tcBorders>
          </w:tcPr>
          <w:p>
            <w:pPr>
              <w:pStyle w:val="Normal"/>
              <w:rPr/>
            </w:pPr>
            <w:r>
              <w:rPr>
                <w:color w:val="auto"/>
              </w:rPr>
              <w:t>L(</w:t>
            </w:r>
            <w:r>
              <w:rPr>
                <w:rFonts w:eastAsia="Symbol" w:cs="Symbol" w:ascii="Symbol" w:hAnsi="Symbol"/>
                <w:color w:val="auto"/>
              </w:rPr>
              <w:sym w:font="Symbol" w:char="f071"/>
            </w:r>
            <w:r>
              <w:rPr>
                <w:color w:val="auto"/>
              </w:rPr>
              <w:t>; y)</w:t>
            </w:r>
          </w:p>
        </w:tc>
        <w:tc>
          <w:tcPr>
            <w:tcW w:w="900" w:type="dxa"/>
            <w:tcBorders>
              <w:bottom w:val="single" w:sz="4" w:space="0" w:color="000000"/>
            </w:tcBorders>
          </w:tcPr>
          <w:p>
            <w:pPr>
              <w:pStyle w:val="Normal"/>
              <w:rPr>
                <w:color w:val="auto"/>
              </w:rPr>
            </w:pPr>
            <w:r>
              <w:rPr>
                <w:color w:val="auto"/>
              </w:rPr>
              <w:t>SC</w:t>
            </w:r>
          </w:p>
        </w:tc>
        <w:tc>
          <w:tcPr>
            <w:tcW w:w="990" w:type="dxa"/>
            <w:tcBorders>
              <w:start w:val="single" w:sz="4" w:space="0" w:color="C0C0C0"/>
              <w:bottom w:val="single" w:sz="4" w:space="0" w:color="000000"/>
            </w:tcBorders>
          </w:tcPr>
          <w:p>
            <w:pPr>
              <w:pStyle w:val="Normal"/>
              <w:rPr/>
            </w:pPr>
            <w:r>
              <w:rPr>
                <w:color w:val="auto"/>
              </w:rPr>
              <w:t>L(</w:t>
            </w:r>
            <w:r>
              <w:rPr>
                <w:rFonts w:eastAsia="Symbol" w:cs="Symbol" w:ascii="Symbol" w:hAnsi="Symbol"/>
                <w:color w:val="auto"/>
              </w:rPr>
              <w:sym w:font="Symbol" w:char="f071"/>
            </w:r>
            <w:r>
              <w:rPr>
                <w:color w:val="auto"/>
              </w:rPr>
              <w:t>; y)</w:t>
            </w:r>
          </w:p>
        </w:tc>
        <w:tc>
          <w:tcPr>
            <w:tcW w:w="990" w:type="dxa"/>
            <w:tcBorders>
              <w:start w:val="single" w:sz="4" w:space="0" w:color="C0C0C0"/>
              <w:bottom w:val="single" w:sz="4" w:space="0" w:color="000000"/>
            </w:tcBorders>
          </w:tcPr>
          <w:p>
            <w:pPr>
              <w:pStyle w:val="Normal"/>
              <w:rPr>
                <w:color w:val="auto"/>
              </w:rPr>
            </w:pPr>
            <w:r>
              <w:rPr>
                <w:color w:val="auto"/>
              </w:rPr>
              <w:t>SC</w:t>
            </w:r>
          </w:p>
        </w:tc>
        <w:tc>
          <w:tcPr>
            <w:tcW w:w="1083" w:type="dxa"/>
            <w:tcBorders>
              <w:start w:val="single" w:sz="4" w:space="0" w:color="C0C0C0"/>
              <w:bottom w:val="single" w:sz="4" w:space="0" w:color="000000"/>
              <w:end w:val="single" w:sz="4" w:space="0" w:color="C0C0C0"/>
            </w:tcBorders>
          </w:tcPr>
          <w:p>
            <w:pPr>
              <w:pStyle w:val="Normal"/>
              <w:rPr/>
            </w:pPr>
            <w:r>
              <w:rPr>
                <w:color w:val="auto"/>
              </w:rPr>
              <w:t>L(</w:t>
            </w:r>
            <w:r>
              <w:rPr>
                <w:rFonts w:eastAsia="Symbol" w:cs="Symbol" w:ascii="Symbol" w:hAnsi="Symbol"/>
                <w:color w:val="auto"/>
              </w:rPr>
              <w:sym w:font="Symbol" w:char="f071"/>
            </w:r>
            <w:r>
              <w:rPr>
                <w:color w:val="auto"/>
              </w:rPr>
              <w:t>; y)</w:t>
            </w:r>
          </w:p>
        </w:tc>
        <w:tc>
          <w:tcPr>
            <w:tcW w:w="897" w:type="dxa"/>
            <w:tcBorders>
              <w:start w:val="single" w:sz="4" w:space="0" w:color="C0C0C0"/>
              <w:bottom w:val="single" w:sz="4" w:space="0" w:color="000000"/>
              <w:end w:val="single" w:sz="4" w:space="0" w:color="C0C0C0"/>
            </w:tcBorders>
          </w:tcPr>
          <w:p>
            <w:pPr>
              <w:pStyle w:val="Normal"/>
              <w:rPr>
                <w:color w:val="auto"/>
              </w:rPr>
            </w:pPr>
            <w:r>
              <w:rPr>
                <w:color w:val="auto"/>
              </w:rPr>
              <w:t>SC</w:t>
            </w:r>
          </w:p>
        </w:tc>
      </w:tr>
      <w:tr>
        <w:trPr>
          <w:trHeight w:val="300" w:hRule="atLeast"/>
        </w:trPr>
        <w:tc>
          <w:tcPr>
            <w:tcW w:w="2430" w:type="dxa"/>
            <w:tcBorders>
              <w:end w:val="single" w:sz="6" w:space="0" w:color="000000"/>
            </w:tcBorders>
          </w:tcPr>
          <w:p>
            <w:pPr>
              <w:pStyle w:val="Normal"/>
              <w:rPr>
                <w:color w:val="auto"/>
              </w:rPr>
            </w:pPr>
            <w:r>
              <w:rPr>
                <w:color w:val="auto"/>
              </w:rPr>
              <w:t xml:space="preserve"> </w:t>
            </w:r>
            <w:r>
              <w:rPr>
                <w:color w:val="auto"/>
              </w:rPr>
              <w:t>PD</w:t>
            </w:r>
          </w:p>
        </w:tc>
        <w:tc>
          <w:tcPr>
            <w:tcW w:w="990" w:type="dxa"/>
            <w:tcBorders>
              <w:end w:val="single" w:sz="4" w:space="0" w:color="C0C0C0"/>
            </w:tcBorders>
          </w:tcPr>
          <w:p>
            <w:pPr>
              <w:pStyle w:val="Normal"/>
              <w:rPr>
                <w:color w:val="auto"/>
              </w:rPr>
            </w:pPr>
            <w:r>
              <w:rPr>
                <w:color w:val="auto"/>
              </w:rPr>
              <w:t>60</w:t>
            </w:r>
          </w:p>
        </w:tc>
        <w:tc>
          <w:tcPr>
            <w:tcW w:w="900" w:type="dxa"/>
            <w:tcBorders/>
          </w:tcPr>
          <w:p>
            <w:pPr>
              <w:pStyle w:val="Normal"/>
              <w:rPr>
                <w:color w:val="auto"/>
              </w:rPr>
            </w:pPr>
            <w:r>
              <w:rPr>
                <w:color w:val="auto"/>
              </w:rPr>
              <w:t>-109</w:t>
            </w:r>
          </w:p>
        </w:tc>
        <w:tc>
          <w:tcPr>
            <w:tcW w:w="990" w:type="dxa"/>
            <w:tcBorders>
              <w:start w:val="single" w:sz="4" w:space="0" w:color="C0C0C0"/>
            </w:tcBorders>
          </w:tcPr>
          <w:p>
            <w:pPr>
              <w:pStyle w:val="Normal"/>
              <w:rPr>
                <w:color w:val="auto"/>
              </w:rPr>
            </w:pPr>
            <w:r>
              <w:rPr>
                <w:color w:val="auto"/>
              </w:rPr>
              <w:t>919</w:t>
            </w:r>
          </w:p>
        </w:tc>
        <w:tc>
          <w:tcPr>
            <w:tcW w:w="990" w:type="dxa"/>
            <w:tcBorders>
              <w:start w:val="single" w:sz="4" w:space="0" w:color="C0C0C0"/>
            </w:tcBorders>
          </w:tcPr>
          <w:p>
            <w:pPr>
              <w:pStyle w:val="Normal"/>
              <w:rPr>
                <w:color w:val="auto"/>
              </w:rPr>
            </w:pPr>
            <w:r>
              <w:rPr>
                <w:color w:val="auto"/>
              </w:rPr>
              <w:t>-1827</w:t>
            </w:r>
          </w:p>
        </w:tc>
        <w:tc>
          <w:tcPr>
            <w:tcW w:w="1083" w:type="dxa"/>
            <w:tcBorders>
              <w:start w:val="single" w:sz="4" w:space="0" w:color="C0C0C0"/>
              <w:end w:val="single" w:sz="4" w:space="0" w:color="C0C0C0"/>
            </w:tcBorders>
          </w:tcPr>
          <w:p>
            <w:pPr>
              <w:pStyle w:val="Normal"/>
              <w:rPr>
                <w:color w:val="auto"/>
              </w:rPr>
            </w:pPr>
            <w:r>
              <w:rPr>
                <w:color w:val="auto"/>
              </w:rPr>
              <w:t>992</w:t>
            </w:r>
          </w:p>
        </w:tc>
        <w:tc>
          <w:tcPr>
            <w:tcW w:w="897" w:type="dxa"/>
            <w:tcBorders>
              <w:start w:val="single" w:sz="4" w:space="0" w:color="C0C0C0"/>
              <w:end w:val="single" w:sz="4" w:space="0" w:color="C0C0C0"/>
            </w:tcBorders>
          </w:tcPr>
          <w:p>
            <w:pPr>
              <w:pStyle w:val="Normal"/>
              <w:rPr>
                <w:color w:val="auto"/>
              </w:rPr>
            </w:pPr>
            <w:r>
              <w:rPr>
                <w:color w:val="auto"/>
              </w:rPr>
              <w:t>-1973</w:t>
            </w:r>
          </w:p>
        </w:tc>
      </w:tr>
      <w:tr>
        <w:trPr>
          <w:trHeight w:val="300" w:hRule="atLeast"/>
        </w:trPr>
        <w:tc>
          <w:tcPr>
            <w:tcW w:w="2430" w:type="dxa"/>
            <w:tcBorders>
              <w:end w:val="single" w:sz="6" w:space="0" w:color="000000"/>
            </w:tcBorders>
          </w:tcPr>
          <w:p>
            <w:pPr>
              <w:pStyle w:val="Normal"/>
              <w:rPr>
                <w:color w:val="auto"/>
              </w:rPr>
            </w:pPr>
            <w:r>
              <w:rPr>
                <w:color w:val="auto"/>
              </w:rPr>
              <w:t xml:space="preserve"> </w:t>
            </w:r>
            <w:r>
              <w:rPr>
                <w:color w:val="auto"/>
              </w:rPr>
              <w:t>JD</w:t>
            </w:r>
          </w:p>
        </w:tc>
        <w:tc>
          <w:tcPr>
            <w:tcW w:w="990" w:type="dxa"/>
            <w:tcBorders>
              <w:end w:val="single" w:sz="4" w:space="0" w:color="C0C0C0"/>
            </w:tcBorders>
          </w:tcPr>
          <w:p>
            <w:pPr>
              <w:pStyle w:val="Normal"/>
              <w:rPr>
                <w:color w:val="auto"/>
              </w:rPr>
            </w:pPr>
            <w:r>
              <w:rPr>
                <w:color w:val="auto"/>
              </w:rPr>
              <w:t>148</w:t>
            </w:r>
          </w:p>
        </w:tc>
        <w:tc>
          <w:tcPr>
            <w:tcW w:w="900" w:type="dxa"/>
            <w:tcBorders/>
          </w:tcPr>
          <w:p>
            <w:pPr>
              <w:pStyle w:val="Normal"/>
              <w:rPr>
                <w:color w:val="auto"/>
              </w:rPr>
            </w:pPr>
            <w:r>
              <w:rPr>
                <w:color w:val="auto"/>
              </w:rPr>
              <w:t>-267</w:t>
            </w:r>
          </w:p>
        </w:tc>
        <w:tc>
          <w:tcPr>
            <w:tcW w:w="990" w:type="dxa"/>
            <w:tcBorders>
              <w:start w:val="single" w:sz="4" w:space="0" w:color="C0C0C0"/>
            </w:tcBorders>
          </w:tcPr>
          <w:p>
            <w:pPr>
              <w:pStyle w:val="Normal"/>
              <w:snapToGrid w:val="false"/>
              <w:rPr>
                <w:color w:val="auto"/>
              </w:rPr>
            </w:pPr>
            <w:r>
              <w:rPr>
                <w:color w:val="auto"/>
              </w:rPr>
            </w:r>
          </w:p>
        </w:tc>
        <w:tc>
          <w:tcPr>
            <w:tcW w:w="990" w:type="dxa"/>
            <w:tcBorders>
              <w:start w:val="single" w:sz="4" w:space="0" w:color="C0C0C0"/>
            </w:tcBorders>
          </w:tcPr>
          <w:p>
            <w:pPr>
              <w:pStyle w:val="Normal"/>
              <w:snapToGrid w:val="false"/>
              <w:rPr>
                <w:color w:val="auto"/>
              </w:rPr>
            </w:pPr>
            <w:r>
              <w:rPr>
                <w:color w:val="auto"/>
              </w:rPr>
            </w:r>
          </w:p>
        </w:tc>
        <w:tc>
          <w:tcPr>
            <w:tcW w:w="1083" w:type="dxa"/>
            <w:tcBorders>
              <w:start w:val="single" w:sz="4" w:space="0" w:color="C0C0C0"/>
              <w:end w:val="single" w:sz="4" w:space="0" w:color="C0C0C0"/>
            </w:tcBorders>
          </w:tcPr>
          <w:p>
            <w:pPr>
              <w:pStyle w:val="Normal"/>
              <w:snapToGrid w:val="false"/>
              <w:rPr>
                <w:color w:val="auto"/>
              </w:rPr>
            </w:pPr>
            <w:r>
              <w:rPr>
                <w:color w:val="auto"/>
              </w:rPr>
            </w:r>
          </w:p>
        </w:tc>
        <w:tc>
          <w:tcPr>
            <w:tcW w:w="897" w:type="dxa"/>
            <w:tcBorders>
              <w:start w:val="single" w:sz="4" w:space="0" w:color="C0C0C0"/>
              <w:end w:val="single" w:sz="4" w:space="0" w:color="C0C0C0"/>
            </w:tcBorders>
          </w:tcPr>
          <w:p>
            <w:pPr>
              <w:pStyle w:val="Normal"/>
              <w:snapToGrid w:val="false"/>
              <w:rPr>
                <w:color w:val="auto"/>
              </w:rPr>
            </w:pPr>
            <w:r>
              <w:rPr>
                <w:color w:val="auto"/>
              </w:rPr>
            </w:r>
          </w:p>
        </w:tc>
      </w:tr>
      <w:tr>
        <w:trPr>
          <w:trHeight w:val="300" w:hRule="atLeast"/>
        </w:trPr>
        <w:tc>
          <w:tcPr>
            <w:tcW w:w="2430" w:type="dxa"/>
            <w:tcBorders>
              <w:end w:val="single" w:sz="6" w:space="0" w:color="000000"/>
            </w:tcBorders>
          </w:tcPr>
          <w:p>
            <w:pPr>
              <w:pStyle w:val="Normal"/>
              <w:rPr>
                <w:color w:val="auto"/>
              </w:rPr>
            </w:pPr>
            <w:r>
              <w:rPr>
                <w:color w:val="auto"/>
              </w:rPr>
              <w:t>D+Arch</w:t>
            </w:r>
          </w:p>
        </w:tc>
        <w:tc>
          <w:tcPr>
            <w:tcW w:w="990" w:type="dxa"/>
            <w:tcBorders>
              <w:end w:val="single" w:sz="4" w:space="0" w:color="C0C0C0"/>
            </w:tcBorders>
          </w:tcPr>
          <w:p>
            <w:pPr>
              <w:pStyle w:val="Normal"/>
              <w:rPr>
                <w:color w:val="auto"/>
              </w:rPr>
            </w:pPr>
            <w:r>
              <w:rPr>
                <w:color w:val="auto"/>
              </w:rPr>
              <w:t>84</w:t>
            </w:r>
          </w:p>
        </w:tc>
        <w:tc>
          <w:tcPr>
            <w:tcW w:w="900" w:type="dxa"/>
            <w:tcBorders/>
          </w:tcPr>
          <w:p>
            <w:pPr>
              <w:pStyle w:val="Normal"/>
              <w:rPr>
                <w:color w:val="auto"/>
              </w:rPr>
            </w:pPr>
            <w:r>
              <w:rPr>
                <w:color w:val="auto"/>
              </w:rPr>
              <w:t>-151</w:t>
            </w:r>
          </w:p>
        </w:tc>
        <w:tc>
          <w:tcPr>
            <w:tcW w:w="990" w:type="dxa"/>
            <w:tcBorders>
              <w:start w:val="single" w:sz="4" w:space="0" w:color="C0C0C0"/>
            </w:tcBorders>
          </w:tcPr>
          <w:p>
            <w:pPr>
              <w:pStyle w:val="Normal"/>
              <w:rPr>
                <w:color w:val="auto"/>
              </w:rPr>
            </w:pPr>
            <w:r>
              <w:rPr>
                <w:color w:val="auto"/>
              </w:rPr>
              <w:t>917</w:t>
            </w:r>
          </w:p>
        </w:tc>
        <w:tc>
          <w:tcPr>
            <w:tcW w:w="990" w:type="dxa"/>
            <w:tcBorders>
              <w:start w:val="single" w:sz="4" w:space="0" w:color="C0C0C0"/>
            </w:tcBorders>
          </w:tcPr>
          <w:p>
            <w:pPr>
              <w:pStyle w:val="Normal"/>
              <w:rPr>
                <w:color w:val="auto"/>
              </w:rPr>
            </w:pPr>
            <w:r>
              <w:rPr>
                <w:color w:val="auto"/>
              </w:rPr>
              <w:t>-1817</w:t>
            </w:r>
          </w:p>
        </w:tc>
        <w:tc>
          <w:tcPr>
            <w:tcW w:w="1083" w:type="dxa"/>
            <w:tcBorders>
              <w:start w:val="single" w:sz="4" w:space="0" w:color="C0C0C0"/>
              <w:end w:val="single" w:sz="4" w:space="0" w:color="C0C0C0"/>
            </w:tcBorders>
          </w:tcPr>
          <w:p>
            <w:pPr>
              <w:pStyle w:val="Normal"/>
              <w:rPr>
                <w:color w:val="auto"/>
              </w:rPr>
            </w:pPr>
            <w:r>
              <w:rPr>
                <w:color w:val="auto"/>
              </w:rPr>
              <w:t>991</w:t>
            </w:r>
          </w:p>
        </w:tc>
        <w:tc>
          <w:tcPr>
            <w:tcW w:w="897" w:type="dxa"/>
            <w:tcBorders>
              <w:start w:val="single" w:sz="4" w:space="0" w:color="C0C0C0"/>
              <w:end w:val="single" w:sz="4" w:space="0" w:color="C0C0C0"/>
            </w:tcBorders>
          </w:tcPr>
          <w:p>
            <w:pPr>
              <w:pStyle w:val="Normal"/>
              <w:rPr>
                <w:color w:val="auto"/>
              </w:rPr>
            </w:pPr>
            <w:r>
              <w:rPr>
                <w:color w:val="auto"/>
              </w:rPr>
              <w:t>-1965</w:t>
            </w:r>
          </w:p>
        </w:tc>
      </w:tr>
      <w:tr>
        <w:trPr>
          <w:trHeight w:val="840" w:hRule="atLeast"/>
        </w:trPr>
        <w:tc>
          <w:tcPr>
            <w:tcW w:w="2430" w:type="dxa"/>
            <w:tcBorders>
              <w:bottom w:val="single" w:sz="12" w:space="0" w:color="000000"/>
              <w:end w:val="single" w:sz="6" w:space="0" w:color="000000"/>
            </w:tcBorders>
          </w:tcPr>
          <w:p>
            <w:pPr>
              <w:pStyle w:val="Normal"/>
              <w:rPr>
                <w:color w:val="auto"/>
              </w:rPr>
            </w:pPr>
            <w:r>
              <w:rPr>
                <w:color w:val="auto"/>
              </w:rPr>
              <w:t>D+Garch</w:t>
            </w:r>
          </w:p>
          <w:p>
            <w:pPr>
              <w:pStyle w:val="Normal"/>
              <w:rPr>
                <w:color w:val="auto"/>
              </w:rPr>
            </w:pPr>
            <w:r>
              <w:rPr>
                <w:color w:val="auto"/>
              </w:rPr>
              <w:t>JD+Garch</w:t>
            </w:r>
          </w:p>
        </w:tc>
        <w:tc>
          <w:tcPr>
            <w:tcW w:w="990" w:type="dxa"/>
            <w:tcBorders>
              <w:bottom w:val="single" w:sz="12" w:space="0" w:color="000000"/>
              <w:end w:val="single" w:sz="4" w:space="0" w:color="C0C0C0"/>
            </w:tcBorders>
          </w:tcPr>
          <w:p>
            <w:pPr>
              <w:pStyle w:val="Normal"/>
              <w:rPr>
                <w:color w:val="auto"/>
              </w:rPr>
            </w:pPr>
            <w:r>
              <w:rPr>
                <w:color w:val="auto"/>
              </w:rPr>
              <w:t>121</w:t>
            </w:r>
          </w:p>
          <w:p>
            <w:pPr>
              <w:pStyle w:val="Normal"/>
              <w:rPr>
                <w:color w:val="auto"/>
              </w:rPr>
            </w:pPr>
            <w:r>
              <w:rPr>
                <w:color w:val="auto"/>
              </w:rPr>
              <w:t>167</w:t>
            </w:r>
          </w:p>
        </w:tc>
        <w:tc>
          <w:tcPr>
            <w:tcW w:w="900" w:type="dxa"/>
            <w:tcBorders>
              <w:bottom w:val="single" w:sz="12" w:space="0" w:color="000000"/>
            </w:tcBorders>
          </w:tcPr>
          <w:p>
            <w:pPr>
              <w:pStyle w:val="Normal"/>
              <w:rPr>
                <w:color w:val="auto"/>
              </w:rPr>
            </w:pPr>
            <w:r>
              <w:rPr>
                <w:color w:val="auto"/>
              </w:rPr>
              <w:t>-219</w:t>
            </w:r>
          </w:p>
          <w:p>
            <w:pPr>
              <w:pStyle w:val="Normal"/>
              <w:rPr>
                <w:color w:val="auto"/>
              </w:rPr>
            </w:pPr>
            <w:r>
              <w:rPr>
                <w:color w:val="auto"/>
              </w:rPr>
              <w:t>-294</w:t>
            </w:r>
          </w:p>
        </w:tc>
        <w:tc>
          <w:tcPr>
            <w:tcW w:w="990" w:type="dxa"/>
            <w:tcBorders>
              <w:start w:val="single" w:sz="4" w:space="0" w:color="C0C0C0"/>
              <w:bottom w:val="single" w:sz="12" w:space="0" w:color="000000"/>
            </w:tcBorders>
          </w:tcPr>
          <w:p>
            <w:pPr>
              <w:pStyle w:val="Normal"/>
              <w:rPr>
                <w:color w:val="auto"/>
              </w:rPr>
            </w:pPr>
            <w:r>
              <w:rPr>
                <w:color w:val="auto"/>
              </w:rPr>
              <w:t>919</w:t>
            </w:r>
          </w:p>
        </w:tc>
        <w:tc>
          <w:tcPr>
            <w:tcW w:w="990" w:type="dxa"/>
            <w:tcBorders>
              <w:start w:val="single" w:sz="4" w:space="0" w:color="C0C0C0"/>
              <w:bottom w:val="single" w:sz="12" w:space="0" w:color="000000"/>
            </w:tcBorders>
          </w:tcPr>
          <w:p>
            <w:pPr>
              <w:pStyle w:val="Normal"/>
              <w:rPr>
                <w:color w:val="auto"/>
              </w:rPr>
            </w:pPr>
            <w:r>
              <w:rPr>
                <w:color w:val="auto"/>
              </w:rPr>
              <w:t>-1815</w:t>
            </w:r>
          </w:p>
        </w:tc>
        <w:tc>
          <w:tcPr>
            <w:tcW w:w="1083" w:type="dxa"/>
            <w:tcBorders>
              <w:start w:val="single" w:sz="4" w:space="0" w:color="C0C0C0"/>
              <w:bottom w:val="single" w:sz="12" w:space="0" w:color="000000"/>
              <w:end w:val="single" w:sz="4" w:space="0" w:color="C0C0C0"/>
            </w:tcBorders>
          </w:tcPr>
          <w:p>
            <w:pPr>
              <w:pStyle w:val="Normal"/>
              <w:rPr>
                <w:color w:val="auto"/>
              </w:rPr>
            </w:pPr>
            <w:r>
              <w:rPr>
                <w:color w:val="auto"/>
              </w:rPr>
              <w:t>995</w:t>
            </w:r>
          </w:p>
          <w:p>
            <w:pPr>
              <w:pStyle w:val="Normal"/>
              <w:rPr>
                <w:color w:val="auto"/>
              </w:rPr>
            </w:pPr>
            <w:r>
              <w:rPr>
                <w:color w:val="auto"/>
              </w:rPr>
              <w:t>993</w:t>
            </w:r>
          </w:p>
        </w:tc>
        <w:tc>
          <w:tcPr>
            <w:tcW w:w="897" w:type="dxa"/>
            <w:tcBorders>
              <w:start w:val="single" w:sz="4" w:space="0" w:color="C0C0C0"/>
              <w:bottom w:val="single" w:sz="12" w:space="0" w:color="000000"/>
              <w:end w:val="single" w:sz="4" w:space="0" w:color="C0C0C0"/>
            </w:tcBorders>
          </w:tcPr>
          <w:p>
            <w:pPr>
              <w:pStyle w:val="Normal"/>
              <w:rPr>
                <w:color w:val="auto"/>
              </w:rPr>
            </w:pPr>
            <w:r>
              <w:rPr>
                <w:color w:val="auto"/>
              </w:rPr>
              <w:t>-1967</w:t>
            </w:r>
          </w:p>
          <w:p>
            <w:pPr>
              <w:pStyle w:val="Normal"/>
              <w:rPr>
                <w:color w:val="auto"/>
              </w:rPr>
            </w:pPr>
            <w:r>
              <w:rPr>
                <w:color w:val="auto"/>
              </w:rPr>
              <w:t>-1946</w:t>
            </w:r>
          </w:p>
        </w:tc>
      </w:tr>
    </w:tbl>
    <w:p>
      <w:pPr>
        <w:pStyle w:val="Normal"/>
        <w:ind w:firstLine="720" w:end="0"/>
        <w:rPr>
          <w:color w:val="auto"/>
        </w:rPr>
      </w:pPr>
      <w:r>
        <w:rPr>
          <w:color w:val="auto"/>
        </w:rPr>
        <w:t>(No value means that the regression did not converge)</w:t>
      </w:r>
    </w:p>
    <w:p>
      <w:pPr>
        <w:pStyle w:val="Normal"/>
        <w:rPr>
          <w:color w:val="auto"/>
        </w:rPr>
      </w:pPr>
      <w:r>
        <w:rPr>
          <w:color w:val="auto"/>
        </w:rPr>
      </w:r>
    </w:p>
    <w:p>
      <w:pPr>
        <w:pStyle w:val="Normal"/>
        <w:rPr>
          <w:color w:val="auto"/>
        </w:rPr>
      </w:pPr>
      <w:r>
        <w:rPr>
          <w:color w:val="auto"/>
        </w:rPr>
        <w:t>A number of interesting conclusions can be inferred from the data in Tables 3.5 and 3.7.  The electricity data are highly skewed and leptokurtic.  The Jarque-Bera statistic described in equation (3.36) is about 2000 for the electricity data, which overwhelmingly rejects the hypothesis of normality.  Also interesting are the results for gas and crude oil.  Over this time period, both return series exhibited platykurtic, or thin-tailed behaviour, and therefore, as might be expected, the ARCH type models did not outperform the pure diffusion fit.  The electricity data, in contrast, appears better described by jump diffusion rather than simple diffusion as demonstrated by the differences in Schwarz criteria.  Furthermore, there is some indication that GARCH(1,1) combined with jump diffusion is marginally more descriptive than jump diffusion alone.  Table 3.8 shows detailed regression results for Pure Diffusion, Jump Diffusion, and Jump Diffusion + GARCH(1,1) on NP15 electricity prices.</w:t>
      </w:r>
    </w:p>
    <w:p>
      <w:pPr>
        <w:pStyle w:val="Normal"/>
        <w:rPr>
          <w:color w:val="auto"/>
        </w:rPr>
      </w:pPr>
      <w:r>
        <w:rPr>
          <w:color w:val="auto"/>
        </w:rPr>
      </w:r>
    </w:p>
    <w:p>
      <w:pPr>
        <w:pStyle w:val="Normal"/>
        <w:rPr/>
      </w:pPr>
      <w:bookmarkStart w:id="29" w:name="_Ref485397428"/>
      <w:r>
        <w:rPr/>
        <w:t xml:space="preserve">Table </w:t>
      </w:r>
      <w:bookmarkEnd w:id="29"/>
      <w:r>
        <w:rPr/>
        <w:t>3.8 Regression Results for NP15 (t-statistics for each parameter are shown in parentheses)</w:t>
      </w:r>
    </w:p>
    <w:tbl>
      <w:tblPr>
        <w:tblW w:w="8550" w:type="dxa"/>
        <w:jc w:val="start"/>
        <w:tblInd w:w="108" w:type="dxa"/>
        <w:tblLayout w:type="fixed"/>
        <w:tblCellMar>
          <w:top w:w="0" w:type="dxa"/>
          <w:start w:w="108" w:type="dxa"/>
          <w:bottom w:w="0" w:type="dxa"/>
          <w:end w:w="108" w:type="dxa"/>
        </w:tblCellMar>
      </w:tblPr>
      <w:tblGrid>
        <w:gridCol w:w="1260"/>
        <w:gridCol w:w="2340"/>
        <w:gridCol w:w="2250"/>
        <w:gridCol w:w="2700"/>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Parameter</w:t>
            </w:r>
          </w:p>
        </w:tc>
        <w:tc>
          <w:tcPr>
            <w:tcW w:w="2340" w:type="dxa"/>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Pure Diffusion (PD)</w:t>
            </w:r>
          </w:p>
        </w:tc>
        <w:tc>
          <w:tcPr>
            <w:tcW w:w="2250" w:type="dxa"/>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Jump Diffusion (JD)</w:t>
            </w:r>
          </w:p>
        </w:tc>
        <w:tc>
          <w:tcPr>
            <w:tcW w:w="2700" w:type="dxa"/>
            <w:tcBorders>
              <w:top w:val="single" w:sz="4" w:space="0" w:color="000000"/>
              <w:start w:val="single" w:sz="4" w:space="0" w:color="000000"/>
              <w:bottom w:val="single" w:sz="4" w:space="0" w:color="000000"/>
              <w:end w:val="single" w:sz="4" w:space="0" w:color="000000"/>
            </w:tcBorders>
          </w:tcPr>
          <w:p>
            <w:pPr>
              <w:pStyle w:val="Normal"/>
              <w:rPr>
                <w:color w:val="auto"/>
              </w:rPr>
            </w:pPr>
            <w:r>
              <w:rPr>
                <w:color w:val="auto"/>
              </w:rPr>
              <w:t>Jump Diffusion + GARCH(1,1)  (JD + Garch)</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rPr>
                <w:color w:val="auto"/>
              </w:rPr>
            </w:pPr>
            <w:r>
              <w:rPr>
                <w:rFonts w:eastAsia="Symbol" w:cs="Symbol" w:ascii="Symbol" w:hAnsi="Symbol"/>
                <w:color w:val="auto"/>
              </w:rPr>
              <w:sym w:font="Symbol" w:char="f06b"/>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0.001</w:t>
            </w:r>
            <w:r>
              <w:rPr>
                <w:rFonts w:eastAsia="Symbol" w:cs="Symbol" w:ascii="Symbol" w:hAnsi="Symbol"/>
                <w:color w:val="auto"/>
              </w:rPr>
              <w:sym w:font="Symbol" w:char="f0b1"/>
            </w:r>
            <w:r>
              <w:rPr>
                <w:color w:val="auto"/>
              </w:rPr>
              <w:t xml:space="preserve"> 0.028 (0.01) </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0.012 </w:t>
            </w:r>
            <w:r>
              <w:rPr>
                <w:rFonts w:eastAsia="Symbol" w:cs="Symbol" w:ascii="Symbol" w:hAnsi="Symbol"/>
                <w:color w:val="auto"/>
              </w:rPr>
              <w:sym w:font="Symbol" w:char="f0b1"/>
            </w:r>
            <w:r>
              <w:rPr>
                <w:color w:val="auto"/>
              </w:rPr>
              <w:t xml:space="preserve"> 0.017 (0.67)</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-0.001 </w:t>
            </w:r>
            <w:r>
              <w:rPr>
                <w:rFonts w:eastAsia="Symbol" w:cs="Symbol" w:ascii="Symbol" w:hAnsi="Symbol"/>
                <w:color w:val="auto"/>
              </w:rPr>
              <w:sym w:font="Symbol" w:char="f0b1"/>
            </w:r>
            <w:r>
              <w:rPr>
                <w:color w:val="auto"/>
              </w:rPr>
              <w:t xml:space="preserve"> 0.015 (0.04)</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color w:val="auto"/>
              </w:rPr>
              <w:sym w:font="Symbol" w:char="f073"/>
            </w:r>
            <w:r>
              <w:rPr>
                <w:color w:val="auto"/>
                <w:vertAlign w:val="superscript"/>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rPr>
                <w:color w:val="auto"/>
                <w:vertAlign w:val="superscript"/>
              </w:rPr>
            </w:pPr>
            <w:r>
              <w:rPr>
                <w:color w:val="auto"/>
              </w:rPr>
              <w:t xml:space="preserve">0.249 </w:t>
            </w:r>
            <w:r>
              <w:rPr>
                <w:rFonts w:eastAsia="Symbol" w:cs="Symbol" w:ascii="Symbol" w:hAnsi="Symbol"/>
                <w:color w:val="auto"/>
              </w:rPr>
              <w:sym w:font="Symbol" w:char="f0b1"/>
            </w:r>
            <w:r>
              <w:rPr>
                <w:color w:val="auto"/>
              </w:rPr>
              <w:t xml:space="preserve"> 0.008 (32.84)</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0.066 </w:t>
            </w:r>
            <w:r>
              <w:rPr>
                <w:rFonts w:eastAsia="Symbol" w:cs="Symbol" w:ascii="Symbol" w:hAnsi="Symbol"/>
                <w:color w:val="auto"/>
              </w:rPr>
              <w:sym w:font="Symbol" w:char="f0b1"/>
            </w:r>
            <w:r>
              <w:rPr>
                <w:color w:val="auto"/>
              </w:rPr>
              <w:t xml:space="preserve"> 0.008 (8.77)</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auto"/>
              </w:rPr>
            </w:pPr>
            <w:r>
              <w:rPr>
                <w:color w:val="auto"/>
              </w:rPr>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color w:val="auto"/>
              </w:rPr>
              <w:sym w:font="Symbol" w:char="f061"/>
            </w:r>
            <w:r>
              <w:rPr>
                <w:color w:val="auto"/>
                <w:vertAlign w:val="subscript"/>
              </w:rPr>
              <w:t>0</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color w:val="auto"/>
                <w:vertAlign w:val="subscript"/>
              </w:rPr>
            </w:pPr>
            <w:r>
              <w:rPr>
                <w:color w:val="auto"/>
                <w:vertAlign w:val="subscript"/>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0.033 </w:t>
            </w:r>
            <w:r>
              <w:rPr>
                <w:rFonts w:eastAsia="Symbol" w:cs="Symbol" w:ascii="Symbol" w:hAnsi="Symbol"/>
                <w:color w:val="auto"/>
              </w:rPr>
              <w:sym w:font="Symbol" w:char="f0b1"/>
            </w:r>
            <w:r>
              <w:rPr>
                <w:color w:val="auto"/>
              </w:rPr>
              <w:t xml:space="preserve"> 0.008 (4.22)</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color w:val="auto"/>
              </w:rPr>
              <w:sym w:font="Symbol" w:char="f061"/>
            </w:r>
            <w:r>
              <w:rPr>
                <w:color w:val="auto"/>
                <w:vertAlign w:val="subscript"/>
              </w:rPr>
              <w:t>1</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color w:val="auto"/>
                <w:vertAlign w:val="subscript"/>
              </w:rPr>
            </w:pPr>
            <w:r>
              <w:rPr>
                <w:color w:val="auto"/>
                <w:vertAlign w:val="subscript"/>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0.349 </w:t>
            </w:r>
            <w:r>
              <w:rPr>
                <w:rFonts w:eastAsia="Symbol" w:cs="Symbol" w:ascii="Symbol" w:hAnsi="Symbol"/>
                <w:color w:val="auto"/>
              </w:rPr>
              <w:sym w:font="Symbol" w:char="f0b1"/>
            </w:r>
            <w:r>
              <w:rPr>
                <w:color w:val="auto"/>
              </w:rPr>
              <w:t xml:space="preserve"> 0.095 (3.66)</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rPr/>
            </w:pPr>
            <w:r>
              <w:rPr>
                <w:rFonts w:eastAsia="Symbol" w:cs="Symbol" w:ascii="Symbol" w:hAnsi="Symbol"/>
                <w:color w:val="auto"/>
              </w:rPr>
              <w:sym w:font="Symbol" w:char="f062"/>
            </w:r>
            <w:r>
              <w:rPr>
                <w:color w:val="auto"/>
                <w:vertAlign w:val="subscript"/>
              </w:rPr>
              <w:t>1</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color w:val="auto"/>
                <w:vertAlign w:val="subscript"/>
              </w:rPr>
            </w:pPr>
            <w:r>
              <w:rPr>
                <w:color w:val="auto"/>
                <w:vertAlign w:val="subscript"/>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0.208 </w:t>
            </w:r>
            <w:r>
              <w:rPr>
                <w:rFonts w:eastAsia="Symbol" w:cs="Symbol" w:ascii="Symbol" w:hAnsi="Symbol"/>
                <w:color w:val="auto"/>
              </w:rPr>
              <w:sym w:font="Symbol" w:char="f0b1"/>
            </w:r>
            <w:r>
              <w:rPr>
                <w:color w:val="auto"/>
              </w:rPr>
              <w:t xml:space="preserve"> 0.094 (2.21)</w:t>
            </w:r>
          </w:p>
        </w:tc>
      </w:tr>
      <w:tr>
        <w:trPr>
          <w:trHeight w:val="413"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rPr>
                <w:color w:val="auto"/>
              </w:rPr>
            </w:pPr>
            <w:r>
              <w:rPr>
                <w:rFonts w:eastAsia="Symbol" w:cs="Symbol" w:ascii="Symbol" w:hAnsi="Symbol"/>
                <w:color w:val="auto"/>
              </w:rPr>
              <w:sym w:font="Symbol" w:char="f066"/>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color w:val="auto"/>
              </w:rPr>
            </w:pPr>
            <w:r>
              <w:rPr>
                <w:color w:val="auto"/>
              </w:rPr>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0.131 </w:t>
            </w:r>
            <w:r>
              <w:rPr>
                <w:rFonts w:eastAsia="Symbol" w:cs="Symbol" w:ascii="Symbol" w:hAnsi="Symbol"/>
                <w:color w:val="auto"/>
              </w:rPr>
              <w:sym w:font="Symbol" w:char="f0b1"/>
            </w:r>
            <w:r>
              <w:rPr>
                <w:color w:val="auto"/>
              </w:rPr>
              <w:t xml:space="preserve"> 0.033 (3.99)</w:t>
            </w:r>
          </w:p>
        </w:tc>
        <w:tc>
          <w:tcPr>
            <w:tcW w:w="2700" w:type="dxa"/>
            <w:tcBorders>
              <w:top w:val="single" w:sz="4" w:space="0" w:color="000000"/>
              <w:start w:val="single" w:sz="4" w:space="0" w:color="000000"/>
              <w:bottom w:val="single" w:sz="4" w:space="0" w:color="000000"/>
              <w:end w:val="single" w:sz="4" w:space="0" w:color="000000"/>
            </w:tcBorders>
          </w:tcPr>
          <w:p>
            <w:pPr>
              <w:pStyle w:val="Normal"/>
              <w:jc w:val="center"/>
              <w:rPr/>
            </w:pPr>
            <w:r>
              <w:rPr>
                <w:color w:val="auto"/>
              </w:rPr>
              <w:t xml:space="preserve">0.063 </w:t>
            </w:r>
            <w:r>
              <w:rPr>
                <w:rFonts w:eastAsia="Symbol" w:cs="Symbol" w:ascii="Symbol" w:hAnsi="Symbol"/>
                <w:color w:val="auto"/>
              </w:rPr>
              <w:sym w:font="Symbol" w:char="f0b1"/>
            </w:r>
            <w:r>
              <w:rPr>
                <w:color w:val="auto"/>
              </w:rPr>
              <w:t xml:space="preserve"> 0.023 (2.76)</w:t>
            </w:r>
          </w:p>
        </w:tc>
      </w:tr>
      <w:tr>
        <w:trPr>
          <w:trHeight w:val="377"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rFonts w:eastAsia="Symbol" w:cs="Symbol" w:ascii="Symbol" w:hAnsi="Symbol"/>
                <w:color w:val="auto"/>
              </w:rPr>
              <w:sym w:font="Symbol" w:char="f06d"/>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rPr>
            </w:pPr>
            <w:r>
              <w:rPr>
                <w:color w:val="auto"/>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color w:val="auto"/>
              </w:rPr>
              <w:t xml:space="preserve">-0.086 </w:t>
            </w:r>
            <w:r>
              <w:rPr>
                <w:rFonts w:eastAsia="Symbol" w:cs="Symbol" w:ascii="Symbol" w:hAnsi="Symbol"/>
                <w:color w:val="auto"/>
              </w:rPr>
              <w:sym w:font="Symbol" w:char="f0b1"/>
            </w:r>
            <w:r>
              <w:rPr>
                <w:color w:val="auto"/>
              </w:rPr>
              <w:t xml:space="preserve"> 0.214 (0.40)</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color w:val="auto"/>
              </w:rPr>
              <w:t xml:space="preserve">0.209 </w:t>
            </w:r>
            <w:r>
              <w:rPr>
                <w:rFonts w:eastAsia="Symbol" w:cs="Symbol" w:ascii="Symbol" w:hAnsi="Symbol"/>
                <w:color w:val="auto"/>
              </w:rPr>
              <w:sym w:font="Symbol" w:char="f0b1"/>
            </w:r>
            <w:r>
              <w:rPr>
                <w:color w:val="auto"/>
              </w:rPr>
              <w:t xml:space="preserve"> 0.400 (0.52)</w:t>
            </w:r>
          </w:p>
        </w:tc>
      </w:tr>
      <w:tr>
        <w:trPr>
          <w:trHeight w:val="422" w:hRule="atLeast"/>
        </w:trPr>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7"/>
            </w:r>
            <w:r>
              <w:rPr>
                <w:color w:val="auto"/>
                <w:vertAlign w:val="superscript"/>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perscript"/>
              </w:rPr>
            </w:pPr>
            <w:r>
              <w:rPr>
                <w:color w:val="auto"/>
                <w:vertAlign w:val="superscript"/>
              </w:rPr>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color w:val="auto"/>
              </w:rPr>
              <w:t xml:space="preserve">1.391 </w:t>
            </w:r>
            <w:r>
              <w:rPr>
                <w:rFonts w:eastAsia="Symbol" w:cs="Symbol" w:ascii="Symbol" w:hAnsi="Symbol"/>
                <w:color w:val="auto"/>
              </w:rPr>
              <w:sym w:font="Symbol" w:char="f0b1"/>
            </w:r>
            <w:r>
              <w:rPr>
                <w:color w:val="auto"/>
              </w:rPr>
              <w:t xml:space="preserve"> 0.385 (3.61)</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color w:val="auto"/>
              </w:rPr>
              <w:t xml:space="preserve">1.538 </w:t>
            </w:r>
            <w:r>
              <w:rPr>
                <w:rFonts w:eastAsia="Symbol" w:cs="Symbol" w:ascii="Symbol" w:hAnsi="Symbol"/>
                <w:color w:val="auto"/>
              </w:rPr>
              <w:sym w:font="Symbol" w:char="f0b1"/>
            </w:r>
            <w:r>
              <w:rPr>
                <w:color w:val="auto"/>
              </w:rPr>
              <w:t xml:space="preserve"> 0.861 (1.79)</w:t>
            </w:r>
          </w:p>
        </w:tc>
      </w:tr>
    </w:tbl>
    <w:p>
      <w:pPr>
        <w:pStyle w:val="Normal"/>
        <w:rPr>
          <w:color w:val="auto"/>
        </w:rPr>
      </w:pPr>
      <w:r>
        <w:rPr>
          <w:color w:val="auto"/>
        </w:rPr>
      </w:r>
    </w:p>
    <w:p>
      <w:pPr>
        <w:pStyle w:val="Normal"/>
        <w:rPr/>
      </w:pPr>
      <w:r>
        <w:rPr>
          <w:color w:val="auto"/>
        </w:rPr>
        <w:t xml:space="preserve">We see that the models are generally consistent with each other.  The mean return </w:t>
      </w:r>
      <w:r>
        <w:rPr>
          <w:rFonts w:eastAsia="Symbol" w:cs="Symbol" w:ascii="Symbol" w:hAnsi="Symbol"/>
          <w:color w:val="auto"/>
        </w:rPr>
        <w:sym w:font="Symbol" w:char="f06b"/>
      </w:r>
      <w:r>
        <w:rPr>
          <w:color w:val="auto"/>
        </w:rPr>
        <w:t xml:space="preserve"> and mean jump size </w:t>
      </w:r>
      <w:r>
        <w:rPr>
          <w:rFonts w:eastAsia="Symbol" w:cs="Symbol" w:ascii="Symbol" w:hAnsi="Symbol"/>
          <w:color w:val="auto"/>
        </w:rPr>
        <w:sym w:font="Symbol" w:char="f06d"/>
      </w:r>
      <w:r>
        <w:rPr>
          <w:color w:val="auto"/>
        </w:rPr>
        <w:t xml:space="preserve"> are small and poorly determined in all models.  The diffusion variance </w:t>
      </w:r>
      <w:r>
        <w:rPr>
          <w:rFonts w:eastAsia="Symbol" w:cs="Symbol" w:ascii="Symbol" w:hAnsi="Symbol"/>
          <w:color w:val="auto"/>
        </w:rPr>
        <w:sym w:font="Symbol" w:char="f073"/>
      </w:r>
      <w:r>
        <w:rPr>
          <w:color w:val="auto"/>
          <w:vertAlign w:val="superscript"/>
        </w:rPr>
        <w:t>2</w:t>
      </w:r>
      <w:r>
        <w:rPr>
          <w:color w:val="auto"/>
        </w:rPr>
        <w:t xml:space="preserve"> in the JD model is roughly consistent with the unconditional variance of the D+Garch model, calculated to be 0.075.</w:t>
      </w:r>
      <w:r>
        <w:rPr>
          <w:rStyle w:val="FootnoteCharacters"/>
          <w:rStyle w:val="FootnoteReference"/>
          <w:color w:val="auto"/>
        </w:rPr>
        <w:footnoteReference w:id="4"/>
      </w:r>
      <w:r>
        <w:rPr>
          <w:color w:val="auto"/>
        </w:rPr>
        <w:t xml:space="preserve"> Furthermore, the JD total variance, calculated to be 0.248,</w:t>
      </w:r>
      <w:r>
        <w:rPr>
          <w:rStyle w:val="FootnoteCharacters"/>
          <w:rStyle w:val="FootnoteReference"/>
          <w:color w:val="auto"/>
        </w:rPr>
        <w:footnoteReference w:id="5"/>
      </w:r>
      <w:r>
        <w:rPr>
          <w:color w:val="auto"/>
        </w:rPr>
        <w:t xml:space="preserve"> is consistent with the PD model's variance of 0.249, while the JD+Garch model total variance of 0.172 is somewhat lower than expected. Interestingly, the jump frequency </w:t>
      </w:r>
      <w:r>
        <w:rPr>
          <w:rFonts w:eastAsia="Symbol" w:cs="Symbol" w:ascii="Symbol" w:hAnsi="Symbol"/>
          <w:color w:val="auto"/>
        </w:rPr>
        <w:sym w:font="Symbol" w:char="f066"/>
      </w:r>
      <w:r>
        <w:rPr>
          <w:color w:val="auto"/>
        </w:rPr>
        <w:t xml:space="preserve"> in JD is twice that of the D+Garch model, while the jump variance </w:t>
      </w:r>
      <w:r>
        <w:rPr>
          <w:rFonts w:eastAsia="Symbol" w:cs="Symbol" w:ascii="Symbol" w:hAnsi="Symbol"/>
          <w:color w:val="auto"/>
        </w:rPr>
        <w:sym w:font="Symbol" w:char="f067"/>
      </w:r>
      <w:r>
        <w:rPr>
          <w:color w:val="auto"/>
          <w:vertAlign w:val="superscript"/>
        </w:rPr>
        <w:t xml:space="preserve">2 </w:t>
      </w:r>
      <w:r>
        <w:rPr>
          <w:color w:val="auto"/>
        </w:rPr>
        <w:t>is smaller (although the difference is statistically insignificant). It is tempting to suggest that perhaps some of the intermediate valued returns are being accounted for differently in each model.  In the JD model, there is little choice but to classify them as jumps.  In the D+Garch model however, it may be possible to attribute them to the GARCH process, particularly if they tend to cluster in time.</w:t>
      </w:r>
    </w:p>
    <w:p>
      <w:pPr>
        <w:pStyle w:val="Normal"/>
        <w:rPr>
          <w:color w:val="auto"/>
        </w:rPr>
      </w:pPr>
      <w:r>
        <w:rPr>
          <w:color w:val="auto"/>
        </w:rPr>
      </w:r>
    </w:p>
    <w:p>
      <w:pPr>
        <w:pStyle w:val="Normal"/>
        <w:rPr>
          <w:color w:val="auto"/>
        </w:rPr>
      </w:pPr>
      <w:r>
        <w:rPr>
          <w:color w:val="auto"/>
        </w:rPr>
        <w:t>While comparative tests like the likelihood ratio test and the Schwarz criterion offer an indication of the relative quality of each model, they do not yield an absolute assessment.  Many more tests, just a few of which we have touched on this section, are required to determine if the hypothesised specification yields a model that statistically identical to the observed data.</w:t>
      </w:r>
    </w:p>
    <w:p>
      <w:pPr>
        <w:pStyle w:val="Normal"/>
        <w:rPr>
          <w:color w:val="auto"/>
        </w:rPr>
      </w:pPr>
      <w:r>
        <w:rPr>
          <w:color w:val="auto"/>
        </w:rPr>
      </w:r>
    </w:p>
    <w:p>
      <w:pPr>
        <w:pStyle w:val="Normal"/>
        <w:rPr>
          <w:color w:val="auto"/>
        </w:rPr>
      </w:pPr>
      <w:r>
        <w:rPr>
          <w:color w:val="auto"/>
        </w:rPr>
        <w:t>As we alluded to at the beginning of this section, a useful first test is often a simple qualitative inspection of a sample price process and the associated log return distribution.</w:t>
      </w:r>
    </w:p>
    <w:p>
      <w:pPr>
        <w:pStyle w:val="Normal"/>
        <w:rPr>
          <w:color w:val="auto"/>
        </w:rPr>
      </w:pPr>
      <w:r>
        <w:rPr>
          <w:color w:val="auto"/>
        </w:rPr>
        <w:t xml:space="preserve">We conclude this chapter then with figures 3.9A, B, and C, which show, respectively, comparisons of simulated PD, JD, and JD+Garch prices with the actual NP15 data. In each panel, the left graph shows a simulated price history in grey and the observed NP15 data in black.  The panels' right graphs depict the distribution of NP15 daily log returns as a histogram and daily log returns for simulated prices as an overlaid black line. Casual inspection shows that while the Jump Diffusion models do yield more realistic price processes in a number of important respects, they nevertheless produce price paths that clearly distinguishable from the observed data.  </w:t>
      </w:r>
    </w:p>
    <w:p>
      <w:pPr>
        <w:pStyle w:val="Normal"/>
        <w:rPr>
          <w:color w:val="auto"/>
        </w:rPr>
      </w:pPr>
      <w:r>
        <w:rPr>
          <w:color w:val="auto"/>
        </w:rPr>
      </w:r>
    </w:p>
    <w:p>
      <w:pPr>
        <w:pStyle w:val="Normal"/>
        <w:rPr>
          <w:b/>
          <w:color w:val="auto"/>
        </w:rPr>
      </w:pPr>
      <w:r>
        <w:rPr>
          <w:b/>
          <w:color w:val="auto"/>
        </w:rPr>
        <w:t>Table 3.9 Comparison of Simulated Price Processes with NP15 Data</w:t>
      </w:r>
    </w:p>
    <w:p>
      <w:pPr>
        <w:pStyle w:val="Normal"/>
        <w:rPr>
          <w:b/>
          <w:color w:val="auto"/>
        </w:rPr>
      </w:pPr>
      <w:r>
        <w:rPr>
          <w:b/>
          <w:color w:val="auto"/>
        </w:rPr>
        <w:t>A: Pure Diffusion, B: Jump Diffusion, C: Jump Diffusion with GARCH(1,1)</w:t>
      </w:r>
    </w:p>
    <w:p>
      <w:pPr>
        <w:pStyle w:val="Normal"/>
        <w:rPr>
          <w:color w:val="auto"/>
        </w:rPr>
      </w:pPr>
      <w:bookmarkStart w:id="30" w:name="_1027234995"/>
      <w:bookmarkStart w:id="31" w:name="_1027234878"/>
      <w:bookmarkStart w:id="32" w:name="_1027234716"/>
      <w:bookmarkStart w:id="33" w:name="_1027234704"/>
      <w:bookmarkStart w:id="34" w:name="_1027234653"/>
      <w:bookmarkStart w:id="35" w:name="_1027234574"/>
      <w:bookmarkEnd w:id="30"/>
      <w:bookmarkEnd w:id="31"/>
      <w:bookmarkEnd w:id="32"/>
      <w:bookmarkEnd w:id="33"/>
      <w:bookmarkEnd w:id="34"/>
      <w:bookmarkEnd w:id="35"/>
      <w:r>
        <w:rPr>
          <w:color w:val="auto"/>
        </w:rPr>
        <w:object w:dxaOrig="14071" w:dyaOrig="1275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31pt;height:409.1pt" filled="f" o:ole="">
            <v:imagedata r:id="rId17" o:title=""/>
          </v:shape>
          <o:OLEObject Type="Embed" ProgID="Excel.Sheet.12" ShapeID="ole_rId16" DrawAspect="Content" ObjectID="_475503305" r:id="rId16"/>
        </w:object>
      </w:r>
      <w:r>
        <mc:AlternateContent>
          <mc:Choice Requires="wps">
            <w:drawing>
              <wp:anchor behindDoc="0" distT="0" distB="0" distL="114935" distR="114935" simplePos="0" locked="0" layoutInCell="1" allowOverlap="1" relativeHeight="68">
                <wp:simplePos x="0" y="0"/>
                <wp:positionH relativeFrom="column">
                  <wp:posOffset>-293370</wp:posOffset>
                </wp:positionH>
                <wp:positionV relativeFrom="paragraph">
                  <wp:posOffset>-19050</wp:posOffset>
                </wp:positionV>
                <wp:extent cx="5798820" cy="1775460"/>
                <wp:effectExtent l="0" t="0" r="0" b="0"/>
                <wp:wrapNone/>
                <wp:docPr id="1" name="Frame3"/>
                <a:graphic xmlns:a="http://schemas.openxmlformats.org/drawingml/2006/main">
                  <a:graphicData uri="http://schemas.microsoft.com/office/word/2010/wordprocessingShape">
                    <wps:wsp>
                      <wps:cNvSpPr txBox="1"/>
                      <wps:spPr>
                        <a:xfrm>
                          <a:off x="0" y="0"/>
                          <a:ext cx="5798820" cy="1775460"/>
                        </a:xfrm>
                        <a:prstGeom prst="rect"/>
                        <a:solidFill>
                          <a:srgbClr val="FFFFFF">
                            <a:alpha val="0"/>
                          </a:srgbClr>
                        </a:solidFill>
                        <a:ln w="19050">
                          <a:solidFill>
                            <a:srgbClr val="000000"/>
                          </a:solidFill>
                        </a:ln>
                      </wps:spPr>
                      <wps:txbx>
                        <w:txbxContent>
                          <w:p>
                            <w:pPr>
                              <w:pStyle w:val="Normal"/>
                              <w:rPr>
                                <w:b/>
                                <w:sz w:val="28"/>
                              </w:rPr>
                            </w:pPr>
                            <w:r>
                              <w:rPr>
                                <w:b/>
                                <w:sz w:val="28"/>
                              </w:rPr>
                              <w:t>A</w:t>
                            </w:r>
                          </w:p>
                        </w:txbxContent>
                      </wps:txbx>
                      <wps:bodyPr anchor="t" lIns="91440" tIns="45720" rIns="91440" bIns="45720">
                        <a:noAutofit/>
                      </wps:bodyPr>
                    </wps:wsp>
                  </a:graphicData>
                </a:graphic>
              </wp:anchor>
            </w:drawing>
          </mc:Choice>
          <mc:Fallback>
            <w:pict>
              <v:rect fillcolor="#FFFFFF" strokecolor="#000000" strokeweight="1pt" style="position:absolute;rotation:-0;width:456.6pt;height:139.8pt;mso-wrap-distance-left:9.05pt;mso-wrap-distance-right:9.05pt;mso-wrap-distance-top:0pt;mso-wrap-distance-bottom:0pt;margin-top:-1.5pt;mso-position-vertical-relative:text;margin-left:-23.1pt;mso-position-horizontal-relative:text">
                <v:fill opacity="0f"/>
                <v:textbox>
                  <w:txbxContent>
                    <w:p>
                      <w:pPr>
                        <w:pStyle w:val="Normal"/>
                        <w:rPr>
                          <w:b/>
                          <w:sz w:val="28"/>
                        </w:rPr>
                      </w:pPr>
                      <w:r>
                        <w:rPr>
                          <w:b/>
                          <w:sz w:val="28"/>
                        </w:rPr>
                        <w:t>A</w:t>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-293370</wp:posOffset>
                </wp:positionH>
                <wp:positionV relativeFrom="paragraph">
                  <wp:posOffset>1718310</wp:posOffset>
                </wp:positionV>
                <wp:extent cx="5798820" cy="1684020"/>
                <wp:effectExtent l="0" t="0" r="0" b="0"/>
                <wp:wrapNone/>
                <wp:docPr id="2" name="Frame1"/>
                <a:graphic xmlns:a="http://schemas.openxmlformats.org/drawingml/2006/main">
                  <a:graphicData uri="http://schemas.microsoft.com/office/word/2010/wordprocessingShape">
                    <wps:wsp>
                      <wps:cNvSpPr txBox="1"/>
                      <wps:spPr>
                        <a:xfrm>
                          <a:off x="0" y="0"/>
                          <a:ext cx="5798820" cy="1684020"/>
                        </a:xfrm>
                        <a:prstGeom prst="rect"/>
                        <a:solidFill>
                          <a:srgbClr val="FFFFFF">
                            <a:alpha val="0"/>
                          </a:srgbClr>
                        </a:solidFill>
                        <a:ln w="19050">
                          <a:solidFill>
                            <a:srgbClr val="000000"/>
                          </a:solidFill>
                        </a:ln>
                      </wps:spPr>
                      <wps:txbx>
                        <w:txbxContent>
                          <w:p>
                            <w:pPr>
                              <w:pStyle w:val="Normal"/>
                              <w:rPr>
                                <w:b/>
                                <w:sz w:val="28"/>
                              </w:rPr>
                            </w:pPr>
                            <w:r>
                              <w:rPr>
                                <w:b/>
                                <w:sz w:val="28"/>
                              </w:rPr>
                              <w:t>B</w:t>
                            </w:r>
                          </w:p>
                        </w:txbxContent>
                      </wps:txbx>
                      <wps:bodyPr anchor="t" lIns="91440" tIns="45720" rIns="91440" bIns="45720">
                        <a:noAutofit/>
                      </wps:bodyPr>
                    </wps:wsp>
                  </a:graphicData>
                </a:graphic>
              </wp:anchor>
            </w:drawing>
          </mc:Choice>
          <mc:Fallback>
            <w:pict>
              <v:rect fillcolor="#FFFFFF" strokecolor="#000000" strokeweight="1pt" style="position:absolute;rotation:-0;width:456.6pt;height:132.6pt;mso-wrap-distance-left:9.05pt;mso-wrap-distance-right:9.05pt;mso-wrap-distance-top:0pt;mso-wrap-distance-bottom:0pt;margin-top:135.3pt;mso-position-vertical-relative:text;margin-left:-23.1pt;mso-position-horizontal-relative:text">
                <v:fill opacity="0f"/>
                <v:textbox>
                  <w:txbxContent>
                    <w:p>
                      <w:pPr>
                        <w:pStyle w:val="Normal"/>
                        <w:rPr>
                          <w:b/>
                          <w:sz w:val="28"/>
                        </w:rPr>
                      </w:pPr>
                      <w:r>
                        <w:rPr>
                          <w:b/>
                          <w:sz w:val="28"/>
                        </w:rPr>
                        <w:t>B</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-293370</wp:posOffset>
                </wp:positionH>
                <wp:positionV relativeFrom="paragraph">
                  <wp:posOffset>3364230</wp:posOffset>
                </wp:positionV>
                <wp:extent cx="5798820" cy="1775460"/>
                <wp:effectExtent l="0" t="0" r="0" b="0"/>
                <wp:wrapNone/>
                <wp:docPr id="3" name="Frame2"/>
                <a:graphic xmlns:a="http://schemas.openxmlformats.org/drawingml/2006/main">
                  <a:graphicData uri="http://schemas.microsoft.com/office/word/2010/wordprocessingShape">
                    <wps:wsp>
                      <wps:cNvSpPr txBox="1"/>
                      <wps:spPr>
                        <a:xfrm>
                          <a:off x="0" y="0"/>
                          <a:ext cx="5798820" cy="1775460"/>
                        </a:xfrm>
                        <a:prstGeom prst="rect"/>
                        <a:solidFill>
                          <a:srgbClr val="FFFFFF">
                            <a:alpha val="0"/>
                          </a:srgbClr>
                        </a:solidFill>
                        <a:ln w="19050">
                          <a:solidFill>
                            <a:srgbClr val="000000"/>
                          </a:solidFill>
                        </a:ln>
                      </wps:spPr>
                      <wps:txbx>
                        <w:txbxContent>
                          <w:p>
                            <w:pPr>
                              <w:pStyle w:val="Normal"/>
                              <w:rPr>
                                <w:b/>
                                <w:sz w:val="28"/>
                              </w:rPr>
                            </w:pPr>
                            <w:r>
                              <w:rPr>
                                <w:b/>
                                <w:sz w:val="28"/>
                              </w:rPr>
                              <w:t>C</w:t>
                            </w:r>
                          </w:p>
                        </w:txbxContent>
                      </wps:txbx>
                      <wps:bodyPr anchor="t" lIns="91440" tIns="45720" rIns="91440" bIns="45720">
                        <a:noAutofit/>
                      </wps:bodyPr>
                    </wps:wsp>
                  </a:graphicData>
                </a:graphic>
              </wp:anchor>
            </w:drawing>
          </mc:Choice>
          <mc:Fallback>
            <w:pict>
              <v:rect fillcolor="#FFFFFF" strokecolor="#000000" strokeweight="1pt" style="position:absolute;rotation:-0;width:456.6pt;height:139.8pt;mso-wrap-distance-left:9.05pt;mso-wrap-distance-right:9.05pt;mso-wrap-distance-top:0pt;mso-wrap-distance-bottom:0pt;margin-top:264.9pt;mso-position-vertical-relative:text;margin-left:-23.1pt;mso-position-horizontal-relative:text">
                <v:fill opacity="0f"/>
                <v:textbox>
                  <w:txbxContent>
                    <w:p>
                      <w:pPr>
                        <w:pStyle w:val="Normal"/>
                        <w:rPr>
                          <w:b/>
                          <w:sz w:val="28"/>
                        </w:rPr>
                      </w:pPr>
                      <w:r>
                        <w:rPr>
                          <w:b/>
                          <w:sz w:val="28"/>
                        </w:rPr>
                        <w:t>C</w:t>
                      </w:r>
                    </w:p>
                  </w:txbxContent>
                </v:textbox>
                <w10:wrap type="none"/>
              </v:rect>
            </w:pict>
          </mc:Fallback>
        </mc:AlternateContent>
      </w:r>
    </w:p>
    <w:p>
      <w:pPr>
        <w:pStyle w:val="Heading2"/>
        <w:ind w:hanging="0" w:start="0"/>
        <w:rPr>
          <w:color w:val="auto"/>
        </w:rPr>
      </w:pPr>
      <w:r>
        <w:rPr>
          <w:color w:val="auto"/>
        </w:rPr>
      </w:r>
    </w:p>
    <w:p>
      <w:pPr>
        <w:pStyle w:val="Heading2"/>
        <w:ind w:hanging="0" w:start="0"/>
        <w:rPr>
          <w:color w:val="auto"/>
        </w:rPr>
      </w:pPr>
      <w:r>
        <w:rPr>
          <w:color w:val="auto"/>
        </w:rPr>
      </w:r>
    </w:p>
    <w:p>
      <w:pPr>
        <w:pStyle w:val="Heading2"/>
        <w:ind w:hanging="0" w:start="0"/>
        <w:rPr>
          <w:color w:val="auto"/>
        </w:rPr>
      </w:pPr>
      <w:r>
        <w:rPr>
          <w:color w:val="auto"/>
        </w:rPr>
        <w:t>3.5</w:t>
        <w:tab/>
        <w:t>Summary</w:t>
      </w:r>
      <w:r>
        <w:br w:type="page"/>
      </w:r>
    </w:p>
    <w:p>
      <w:pPr>
        <w:pStyle w:val="Normal"/>
        <w:numPr>
          <w:ilvl w:val="0"/>
          <w:numId w:val="2"/>
        </w:numPr>
        <w:rPr/>
      </w:pPr>
      <w:r>
        <w:rPr/>
        <w:t>References:</w:t>
      </w:r>
    </w:p>
    <w:p>
      <w:pPr>
        <w:pStyle w:val="Header"/>
        <w:tabs>
          <w:tab w:val="clear" w:pos="4320"/>
          <w:tab w:val="clear" w:pos="8640"/>
        </w:tabs>
        <w:spacing w:lineRule="auto" w:line="240"/>
        <w:rPr/>
      </w:pPr>
      <w:r>
        <w:rPr/>
      </w:r>
    </w:p>
    <w:p>
      <w:pPr>
        <w:pStyle w:val="Normal"/>
        <w:spacing w:lineRule="auto" w:line="240"/>
        <w:rPr/>
      </w:pPr>
      <w:r>
        <w:rPr/>
        <w:t xml:space="preserve">Engle, R.F.,  (1982)  "Autoregressive Conditional Heteroskedasticity with Estimates of the Variance of United Kingdom Inflation", </w:t>
      </w:r>
      <w:r>
        <w:rPr>
          <w:i/>
        </w:rPr>
        <w:t>Econometrica</w:t>
      </w:r>
      <w:r>
        <w:rPr/>
        <w:t xml:space="preserve">, </w:t>
      </w:r>
      <w:r>
        <w:rPr>
          <w:b/>
        </w:rPr>
        <w:t>50</w:t>
      </w:r>
      <w:r>
        <w:rPr/>
        <w:t>, 987-1008</w:t>
      </w:r>
    </w:p>
    <w:p>
      <w:pPr>
        <w:pStyle w:val="Normal"/>
        <w:spacing w:lineRule="auto" w:line="240"/>
        <w:rPr/>
      </w:pPr>
      <w:r>
        <w:rPr/>
      </w:r>
    </w:p>
    <w:p>
      <w:pPr>
        <w:pStyle w:val="Normal"/>
        <w:spacing w:lineRule="auto" w:line="240"/>
        <w:rPr/>
      </w:pPr>
      <w:r>
        <w:rPr/>
        <w:t xml:space="preserve">Bollerslev, T., (1986) "Generalized Autoregressive Conditional Heteroskedasticity", </w:t>
      </w:r>
      <w:r>
        <w:rPr>
          <w:i/>
        </w:rPr>
        <w:t>Journal of Econometrics</w:t>
      </w:r>
      <w:r>
        <w:rPr/>
        <w:t xml:space="preserve">, </w:t>
      </w:r>
      <w:r>
        <w:rPr>
          <w:b/>
        </w:rPr>
        <w:t xml:space="preserve">31, </w:t>
      </w:r>
      <w:r>
        <w:rPr/>
        <w:t>307-327</w:t>
      </w:r>
    </w:p>
    <w:p>
      <w:pPr>
        <w:pStyle w:val="Normal"/>
        <w:spacing w:lineRule="auto" w:line="240"/>
        <w:rPr>
          <w:b/>
        </w:rPr>
      </w:pPr>
      <w:r>
        <w:rPr>
          <w:b/>
        </w:rPr>
      </w:r>
    </w:p>
    <w:p>
      <w:pPr>
        <w:pStyle w:val="Normal"/>
        <w:spacing w:lineRule="auto" w:line="240"/>
        <w:rPr/>
      </w:pPr>
      <w:r>
        <w:rPr/>
        <w:t xml:space="preserve">Nelson, D.B., (1991) "Conditional Heteroskedasticity in Asset Returns: A New Approach", </w:t>
      </w:r>
      <w:r>
        <w:rPr>
          <w:i/>
        </w:rPr>
        <w:t>Econometrica</w:t>
      </w:r>
      <w:r>
        <w:rPr/>
        <w:t xml:space="preserve">, </w:t>
      </w:r>
      <w:r>
        <w:rPr>
          <w:b/>
        </w:rPr>
        <w:t>59</w:t>
      </w:r>
      <w:r>
        <w:rPr/>
        <w:t>, 347-370</w:t>
      </w:r>
    </w:p>
    <w:p>
      <w:pPr>
        <w:pStyle w:val="Normal"/>
        <w:spacing w:lineRule="auto" w:line="240"/>
        <w:rPr/>
      </w:pPr>
      <w:r>
        <w:rPr/>
      </w:r>
    </w:p>
    <w:p>
      <w:pPr>
        <w:pStyle w:val="Normal"/>
        <w:spacing w:lineRule="auto" w:line="240"/>
        <w:rPr/>
      </w:pPr>
      <w:r>
        <w:rPr/>
        <w:t xml:space="preserve">Greene, W.H., (1997) </w:t>
      </w:r>
      <w:r>
        <w:rPr>
          <w:i/>
        </w:rPr>
        <w:t>Econometric Analysis</w:t>
      </w:r>
      <w:r>
        <w:rPr/>
        <w:t xml:space="preserve">, </w:t>
      </w:r>
      <w:r>
        <w:rPr>
          <w:i/>
        </w:rPr>
        <w:t>3</w:t>
      </w:r>
      <w:r>
        <w:rPr>
          <w:i/>
          <w:vertAlign w:val="superscript"/>
        </w:rPr>
        <w:t>rd</w:t>
      </w:r>
      <w:r>
        <w:rPr>
          <w:i/>
        </w:rPr>
        <w:t xml:space="preserve"> ed.</w:t>
      </w:r>
      <w:r>
        <w:rPr/>
        <w:t>, New Jersey: Prentice Hall</w:t>
      </w:r>
    </w:p>
    <w:p>
      <w:pPr>
        <w:pStyle w:val="Normal"/>
        <w:spacing w:lineRule="auto" w:line="240"/>
        <w:rPr/>
      </w:pPr>
      <w:r>
        <w:rPr/>
      </w:r>
    </w:p>
    <w:p>
      <w:pPr>
        <w:pStyle w:val="Normal"/>
        <w:spacing w:lineRule="auto" w:line="240"/>
        <w:rPr/>
      </w:pPr>
      <w:r>
        <w:rPr/>
        <w:t xml:space="preserve">Davidson, R., and MacKinnon, J.G., (1993), </w:t>
      </w:r>
      <w:r>
        <w:rPr>
          <w:i/>
        </w:rPr>
        <w:t>Estimation and Inference in Econometrics</w:t>
      </w:r>
      <w:r>
        <w:rPr/>
        <w:t>, New York: Oxford University Press</w:t>
      </w:r>
    </w:p>
    <w:p>
      <w:pPr>
        <w:pStyle w:val="Normal"/>
        <w:spacing w:lineRule="auto" w:line="240"/>
        <w:rPr/>
      </w:pPr>
      <w:r>
        <w:rPr/>
      </w:r>
    </w:p>
    <w:p>
      <w:pPr>
        <w:pStyle w:val="Normal"/>
        <w:spacing w:lineRule="auto" w:line="240"/>
        <w:rPr/>
      </w:pPr>
      <w:r>
        <w:rPr/>
        <w:t xml:space="preserve">Jarque, C.M. and Bera, A.K., (1980), "Efficient Tests for Normality, Homoskedacity, and Serial Dependence of Regression Residuals", </w:t>
      </w:r>
      <w:r>
        <w:rPr>
          <w:i/>
        </w:rPr>
        <w:t>Economics Letters</w:t>
      </w:r>
      <w:r>
        <w:rPr/>
        <w:t xml:space="preserve">, </w:t>
      </w:r>
      <w:r>
        <w:rPr>
          <w:b/>
        </w:rPr>
        <w:t>63</w:t>
      </w:r>
      <w:r>
        <w:rPr/>
        <w:t>, 7-36</w:t>
      </w:r>
    </w:p>
    <w:p>
      <w:pPr>
        <w:pStyle w:val="Normal"/>
        <w:spacing w:lineRule="auto" w:line="240"/>
        <w:rPr/>
      </w:pPr>
      <w:r>
        <w:rPr/>
      </w:r>
    </w:p>
    <w:p>
      <w:pPr>
        <w:pStyle w:val="Normal"/>
        <w:spacing w:lineRule="auto" w:line="240"/>
        <w:rPr/>
      </w:pPr>
      <w:r>
        <w:rPr/>
        <w:t xml:space="preserve">Hull, J.C, (1999), </w:t>
      </w:r>
      <w:r>
        <w:rPr>
          <w:i/>
        </w:rPr>
        <w:t>Options, Futures, and Other Derivatives, 4</w:t>
      </w:r>
      <w:r>
        <w:rPr>
          <w:i/>
          <w:vertAlign w:val="superscript"/>
        </w:rPr>
        <w:t>th</w:t>
      </w:r>
      <w:r>
        <w:rPr>
          <w:i/>
        </w:rPr>
        <w:t xml:space="preserve"> ed.,</w:t>
      </w:r>
      <w:r>
        <w:rPr/>
        <w:t xml:space="preserve"> New Jersey: Prentice-Hall</w:t>
      </w:r>
    </w:p>
    <w:p>
      <w:pPr>
        <w:pStyle w:val="Normal"/>
        <w:spacing w:lineRule="auto" w:line="240"/>
        <w:rPr/>
      </w:pPr>
      <w:r>
        <w:rPr/>
      </w:r>
    </w:p>
    <w:p>
      <w:pPr>
        <w:pStyle w:val="Normal"/>
        <w:spacing w:lineRule="auto" w:line="240"/>
        <w:rPr/>
      </w:pPr>
      <w:r>
        <w:rPr/>
        <w:t xml:space="preserve">Schwarz, G., (1978), "Estimating the Dimensions of a Model", </w:t>
      </w:r>
      <w:r>
        <w:rPr>
          <w:i/>
        </w:rPr>
        <w:t>Annals of Statistics</w:t>
      </w:r>
      <w:r>
        <w:rPr/>
        <w:t xml:space="preserve">, </w:t>
      </w:r>
      <w:r>
        <w:rPr>
          <w:b/>
        </w:rPr>
        <w:t>6</w:t>
      </w:r>
      <w:r>
        <w:rPr/>
        <w:t>, 461-464.</w:t>
      </w:r>
    </w:p>
    <w:p>
      <w:pPr>
        <w:pStyle w:val="Normal"/>
        <w:spacing w:lineRule="auto" w:line="240"/>
        <w:rPr/>
      </w:pPr>
      <w:r>
        <w:rPr/>
      </w:r>
    </w:p>
    <w:p>
      <w:pPr>
        <w:pStyle w:val="Normal"/>
        <w:rPr/>
      </w:pPr>
      <w:r>
        <w:rPr/>
        <w:t xml:space="preserve">Akgiray, V. and G. Booth, (1987), “Conditional Distribution Models of Stock Returns: An Empirical Comparison,” </w:t>
      </w:r>
      <w:r>
        <w:rPr>
          <w:i/>
        </w:rPr>
        <w:t>Journal of Financial Research</w:t>
      </w:r>
      <w:r>
        <w:rPr>
          <w:b/>
          <w:i/>
        </w:rPr>
        <w:t xml:space="preserve">, </w:t>
      </w:r>
      <w:r>
        <w:rPr>
          <w:b/>
        </w:rPr>
        <w:t>10(3</w:t>
      </w:r>
      <w:r>
        <w:rPr/>
        <w:t>), 269-280.</w:t>
      </w:r>
    </w:p>
    <w:p>
      <w:pPr>
        <w:pStyle w:val="Normal"/>
        <w:rPr/>
      </w:pPr>
      <w:r>
        <w:rPr/>
      </w:r>
    </w:p>
    <w:p>
      <w:pPr>
        <w:pStyle w:val="Normal"/>
        <w:rPr/>
      </w:pPr>
      <w:r>
        <w:rPr/>
        <w:t xml:space="preserve">Ball, C. and W.N. Torous, (1983), “A Simplified Jump Process for Common Stock Returns,” </w:t>
      </w:r>
      <w:r>
        <w:rPr>
          <w:i/>
        </w:rPr>
        <w:t>Journal of Financial and Quantitative Analysis</w:t>
      </w:r>
      <w:r>
        <w:rPr/>
        <w:t xml:space="preserve">, </w:t>
      </w:r>
      <w:r>
        <w:rPr>
          <w:b/>
        </w:rPr>
        <w:t>18(1</w:t>
      </w:r>
      <w:r>
        <w:rPr/>
        <w:t>), 53-65.</w:t>
      </w:r>
    </w:p>
    <w:p>
      <w:pPr>
        <w:pStyle w:val="Normal"/>
        <w:rPr/>
      </w:pPr>
      <w:r>
        <w:rPr/>
      </w:r>
    </w:p>
    <w:p>
      <w:pPr>
        <w:pStyle w:val="Normal"/>
        <w:rPr/>
      </w:pPr>
      <w:r>
        <w:rPr/>
        <w:t xml:space="preserve">Ball, C. and W.N. Torous, (1985), “On Jumps in Common Stock Prices and Their Impact on Call Option Pricing,” </w:t>
      </w:r>
      <w:r>
        <w:rPr>
          <w:i/>
        </w:rPr>
        <w:t>Journal of Finance</w:t>
      </w:r>
      <w:r>
        <w:rPr/>
        <w:t xml:space="preserve">, </w:t>
      </w:r>
      <w:r>
        <w:rPr>
          <w:b/>
        </w:rPr>
        <w:t>40(1),</w:t>
      </w:r>
      <w:r>
        <w:rPr/>
        <w:t xml:space="preserve"> 155-173.</w:t>
      </w:r>
    </w:p>
    <w:p>
      <w:pPr>
        <w:pStyle w:val="Normal"/>
        <w:rPr/>
      </w:pPr>
      <w:r>
        <w:rPr/>
      </w:r>
    </w:p>
    <w:p>
      <w:pPr>
        <w:pStyle w:val="Normal"/>
        <w:rPr/>
      </w:pPr>
      <w:r>
        <w:rPr/>
        <w:t>Das, S.R., (1995), “Jump Diffusion Processes and the Bond Markets”, Harvard University working paper.</w:t>
      </w:r>
    </w:p>
    <w:p>
      <w:pPr>
        <w:pStyle w:val="Normal"/>
        <w:rPr/>
      </w:pPr>
      <w:r>
        <w:rPr/>
      </w:r>
    </w:p>
    <w:p>
      <w:pPr>
        <w:pStyle w:val="Normal"/>
        <w:rPr/>
      </w:pPr>
      <w:r>
        <w:rPr/>
        <w:t xml:space="preserve">Jorion, P., (1988), “On Jump Processes in the Foreign Exchange and Stock Markets,” </w:t>
      </w:r>
      <w:r>
        <w:rPr>
          <w:i/>
        </w:rPr>
        <w:t>Review of Financial Studies</w:t>
      </w:r>
      <w:r>
        <w:rPr/>
        <w:t xml:space="preserve">, </w:t>
      </w:r>
      <w:r>
        <w:rPr>
          <w:b/>
        </w:rPr>
        <w:t>1(4</w:t>
      </w:r>
      <w:r>
        <w:rPr/>
        <w:t>), 427-445.</w:t>
      </w:r>
    </w:p>
    <w:p>
      <w:pPr>
        <w:pStyle w:val="Normal"/>
        <w:rPr/>
      </w:pPr>
      <w:r>
        <w:rPr/>
        <w:t xml:space="preserve"> </w:t>
      </w:r>
    </w:p>
    <w:sectPr>
      <w:headerReference w:type="default" r:id="rId18"/>
      <w:footerReference w:type="default" r:id="rId19"/>
      <w:footnotePr>
        <w:numFmt w:val="decimal"/>
      </w:foot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ED_c03_volatilityGM.doc</w:t>
    </w:r>
    <w:r>
      <w:rPr>
        <w:i/>
      </w:rPr>
      <w:fldChar w:fldCharType="end"/>
    </w:r>
    <w:r>
      <w:rPr>
        <w:i/>
      </w:rPr>
      <w:tab/>
      <w:tab/>
    </w:r>
    <w:r>
      <w:rPr>
        <w:rStyle w:val="PageNumber"/>
        <w:i/>
      </w:rPr>
      <w:fldChar w:fldCharType="begin"/>
    </w:r>
    <w:r>
      <w:rPr>
        <w:rStyle w:val="PageNumber"/>
        <w:i/>
      </w:rPr>
      <w:instrText xml:space="preserve"> PAGE </w:instrText>
    </w:r>
    <w:r>
      <w:rPr>
        <w:rStyle w:val="PageNumber"/>
        <w:i/>
      </w:rPr>
      <w:fldChar w:fldCharType="separate"/>
    </w:r>
    <w:r>
      <w:rPr>
        <w:rStyle w:val="PageNumber"/>
        <w:i/>
      </w:rPr>
      <w:t>20</w:t>
    </w:r>
    <w:r>
      <w:rPr>
        <w:rStyle w:val="PageNumber"/>
        <w:i/>
      </w:rPr>
      <w:fldChar w:fldCharType="end"/>
    </w:r>
    <w:r>
      <w:rPr>
        <w:rStyle w:val="PageNumber"/>
        <w:i/>
      </w:rPr>
      <w:t>/</w:t>
    </w:r>
    <w:r>
      <w:rPr>
        <w:rStyle w:val="PageNumber"/>
        <w:i/>
      </w:rPr>
      <w:fldChar w:fldCharType="begin"/>
    </w:r>
    <w:r>
      <w:rPr>
        <w:rStyle w:val="PageNumber"/>
        <w:i/>
      </w:rPr>
      <w:instrText xml:space="preserve"> NUMPAGES \* ARABIC </w:instrText>
    </w:r>
    <w:r>
      <w:rPr>
        <w:rStyle w:val="PageNumber"/>
        <w:i/>
      </w:rPr>
      <w:fldChar w:fldCharType="separate"/>
    </w:r>
    <w:r>
      <w:rPr>
        <w:rStyle w:val="PageNumber"/>
        <w:i/>
      </w:rPr>
      <w:t>20</w:t>
    </w:r>
    <w:r>
      <w:rPr>
        <w:rStyle w:val="PageNumber"/>
        <w:i/>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Of course, one must also examine the second derivative to ensure that the solution represents a maximum.</w:t>
      </w:r>
    </w:p>
  </w:footnote>
  <w:footnote w:id="3">
    <w:p>
      <w:pPr>
        <w:pStyle w:val="FootnoteText"/>
        <w:ind w:hanging="0" w:start="0" w:end="0"/>
        <w:rPr/>
      </w:pPr>
      <w:r>
        <w:rPr>
          <w:rStyle w:val="FootnoteCharacters"/>
        </w:rPr>
        <w:footnoteRef/>
      </w:r>
      <w:r>
        <w:rPr/>
        <w:t xml:space="preserve">  </w:t>
      </w:r>
      <w:r>
        <w:rPr/>
        <w:t>The use of a Bernoulli random number follows the work by Ball and Torous (1983) and more recently Das (1995). It is well known that the Bernoulli process is a stable approximation of the Poisson process and converges to it in the limit.  This methodology differs from that employed by Jorion (1988), which involves truncation of the infinite summation of the Poisson process. In essence, the likelihood function is cast as a mixture of two normals (for a detailed discussion, see Akgiray and Booth (1987)); namely,</w:t>
      </w:r>
    </w:p>
    <w:p>
      <w:pPr>
        <w:pStyle w:val="FootnoteText"/>
        <w:ind w:hanging="0" w:start="0" w:end="0"/>
        <w:rPr/>
      </w:pPr>
      <w:r>
        <w:rPr/>
      </w:r>
    </w:p>
    <w:p>
      <w:pPr>
        <w:pStyle w:val="FootnoteText"/>
        <w:jc w:val="center"/>
        <w:rPr>
          <w:color w:val="auto"/>
        </w:rPr>
      </w:pPr>
      <w:r>
        <w:rPr/>
      </w:r>
      <m:oMathPara xmlns:m="http://schemas.openxmlformats.org/officeDocument/2006/math">
        <m:oMathParaPr>
          <m:jc m:val="center"/>
        </m:oMathParaPr>
        <m:oMath>
          <m:eqArr>
            <m:e>
              <m:r>
                <m:t xml:space="preserve">L</m:t>
              </m:r>
              <m:r>
                <m:t xml:space="preserve">(</m:t>
              </m:r>
              <m:r>
                <m:t xml:space="preserve">κ</m:t>
              </m:r>
              <m:r>
                <m:t xml:space="preserve">,</m:t>
              </m:r>
              <m:r>
                <m:t xml:space="preserve">σ</m:t>
              </m:r>
              <m:r>
                <m:t xml:space="preserve">,</m:t>
              </m:r>
              <m:r>
                <m:t xml:space="preserve">μ</m:t>
              </m:r>
              <m:r>
                <m:t xml:space="preserve">,</m:t>
              </m:r>
              <m:r>
                <m:t xml:space="preserve">γ</m:t>
              </m:r>
              <m:r>
                <m:t xml:space="preserve">,</m:t>
              </m:r>
              <m:r>
                <m:t xml:space="preserve">φ</m:t>
              </m:r>
              <m:r>
                <m:t xml:space="preserve">;</m:t>
              </m:r>
              <m:sSub>
                <m:e>
                  <m:r>
                    <m:t xml:space="preserve">y</m:t>
                  </m:r>
                </m:e>
                <m:sub>
                  <m:r>
                    <m:t xml:space="preserve">t</m:t>
                  </m:r>
                </m:sub>
              </m:sSub>
              <m:r>
                <m:t xml:space="preserve">)</m:t>
              </m:r>
              <m:r>
                <m:t xml:space="preserve">=</m:t>
              </m:r>
              <m:r>
                <m:t xml:space="preserve">P</m:t>
              </m:r>
              <m:d>
                <m:dPr>
                  <m:begChr m:val="("/>
                  <m:endChr m:val=")"/>
                </m:dPr>
                <m:e>
                  <m:r>
                    <m:t xml:space="preserve">J</m:t>
                  </m:r>
                  <m:r>
                    <m:t xml:space="preserve">=</m:t>
                  </m:r>
                  <m:r>
                    <m:t xml:space="preserve">0</m:t>
                  </m:r>
                </m:e>
              </m:d>
              <m:r>
                <m:t xml:space="preserve">P</m:t>
              </m:r>
              <m:d>
                <m:dPr>
                  <m:begChr m:val="("/>
                  <m:endChr m:val=")"/>
                </m:dPr>
                <m:e>
                  <m:sSub>
                    <m:e>
                      <m:r>
                        <m:t xml:space="preserve">y</m:t>
                      </m:r>
                    </m:e>
                    <m:sub>
                      <m:r>
                        <m:t xml:space="preserve">t</m:t>
                      </m:r>
                    </m:sub>
                  </m:sSub>
                  <m:r>
                    <m:t xml:space="preserve">|</m:t>
                  </m:r>
                  <m:r>
                    <m:t xml:space="preserve">J</m:t>
                  </m:r>
                  <m:r>
                    <m:t xml:space="preserve">=</m:t>
                  </m:r>
                  <m:r>
                    <m:t xml:space="preserve">0</m:t>
                  </m:r>
                </m:e>
              </m:d>
              <m:r>
                <m:t xml:space="preserve">+</m:t>
              </m:r>
              <m:r>
                <m:t xml:space="preserve">P</m:t>
              </m:r>
              <m:d>
                <m:dPr>
                  <m:begChr m:val="("/>
                  <m:endChr m:val=")"/>
                </m:dPr>
                <m:e>
                  <m:r>
                    <m:t xml:space="preserve">J</m:t>
                  </m:r>
                  <m:r>
                    <m:t xml:space="preserve">=</m:t>
                  </m:r>
                  <m:r>
                    <m:t xml:space="preserve">1</m:t>
                  </m:r>
                </m:e>
              </m:d>
              <m:r>
                <m:t xml:space="preserve">P</m:t>
              </m:r>
              <m:d>
                <m:dPr>
                  <m:begChr m:val="("/>
                  <m:endChr m:val=")"/>
                </m:dPr>
                <m:e>
                  <m:sSub>
                    <m:e>
                      <m:r>
                        <m:t xml:space="preserve">y</m:t>
                      </m:r>
                    </m:e>
                    <m:sub>
                      <m:r>
                        <m:t xml:space="preserve">t</m:t>
                      </m:r>
                    </m:sub>
                  </m:sSub>
                  <m:r>
                    <m:t xml:space="preserve">|</m:t>
                  </m:r>
                  <m:r>
                    <m:t xml:space="preserve">J</m:t>
                  </m:r>
                  <m:r>
                    <m:t xml:space="preserve">=</m:t>
                  </m:r>
                  <m:r>
                    <m:t xml:space="preserve">1</m:t>
                  </m:r>
                </m:e>
              </m:d>
            </m:e>
            <m:e>
              <m:r>
                <m:t xml:space="preserve"> </m:t>
              </m:r>
              <m:r>
                <m:t xml:space="preserve">=</m:t>
              </m:r>
              <m:d>
                <m:dPr>
                  <m:begChr m:val="("/>
                  <m:endChr m:val=")"/>
                </m:dPr>
                <m:e>
                  <m:r>
                    <m:t xml:space="preserve">1</m:t>
                  </m:r>
                  <m:r>
                    <m:t xml:space="preserve">−</m:t>
                  </m:r>
                  <m:r>
                    <m:t xml:space="preserve">φ</m:t>
                  </m:r>
                </m:e>
              </m:d>
              <m:f>
                <m:num>
                  <m:r>
                    <m:t xml:space="preserve">1</m:t>
                  </m:r>
                </m:num>
                <m:den>
                  <m:rad>
                    <m:radPr>
                      <m:degHide m:val="1"/>
                    </m:radPr>
                    <m:deg/>
                    <m:e>
                      <m:r>
                        <m:t xml:space="preserve">2</m:t>
                      </m:r>
                      <m:sSubSup>
                        <m:e>
                          <m:r>
                            <m:rPr>
                              <m:lit/>
                              <m:nor/>
                            </m:rPr>
                            <m:t xml:space="preserve">πσ</m:t>
                          </m:r>
                        </m:e>
                        <m:sub>
                          <m:r>
                            <m:t xml:space="preserve">t</m:t>
                          </m:r>
                        </m:sub>
                        <m:sup>
                          <m:r>
                            <m:t xml:space="preserve">2</m:t>
                          </m:r>
                        </m:sup>
                      </m:sSubSup>
                    </m:e>
                  </m:rad>
                </m:den>
              </m:f>
              <m:r>
                <m:rPr>
                  <m:lit/>
                  <m:nor/>
                </m:rPr>
                <m:t xml:space="preserve">exp</m:t>
              </m:r>
              <m:d>
                <m:dPr>
                  <m:begChr m:val="("/>
                  <m:endChr m:val=")"/>
                </m:dPr>
                <m:e>
                  <m:r>
                    <m:t xml:space="preserve">−</m:t>
                  </m:r>
                  <m:f>
                    <m:num>
                      <m:r>
                        <m:t xml:space="preserve">(</m:t>
                      </m:r>
                      <m:sSub>
                        <m:e>
                          <m:r>
                            <m:t xml:space="preserve">y</m:t>
                          </m:r>
                        </m:e>
                        <m:sub>
                          <m:r>
                            <m:t xml:space="preserve">t</m:t>
                          </m:r>
                        </m:sub>
                      </m:sSub>
                      <m:r>
                        <m:t xml:space="preserve">−</m:t>
                      </m:r>
                      <m:r>
                        <m:t xml:space="preserve">κ</m:t>
                      </m:r>
                      <m:sSup>
                        <m:e>
                          <m:r>
                            <m:t xml:space="preserve">)</m:t>
                          </m:r>
                        </m:e>
                        <m:sup>
                          <m:r>
                            <m:t xml:space="preserve">2</m:t>
                          </m:r>
                        </m:sup>
                      </m:sSup>
                    </m:num>
                    <m:den>
                      <m:r>
                        <m:t xml:space="preserve">2</m:t>
                      </m:r>
                      <m:sSubSup>
                        <m:e>
                          <m:r>
                            <m:t xml:space="preserve">σ</m:t>
                          </m:r>
                        </m:e>
                        <m:sub>
                          <m:r>
                            <m:t xml:space="preserve">t</m:t>
                          </m:r>
                        </m:sub>
                        <m:sup>
                          <m:r>
                            <m:t xml:space="preserve">2</m:t>
                          </m:r>
                        </m:sup>
                      </m:sSubSup>
                    </m:den>
                  </m:f>
                </m:e>
              </m:d>
              <m:r>
                <m:t xml:space="preserve">+</m:t>
              </m:r>
              <m:r>
                <m:t xml:space="preserve">φ</m:t>
              </m:r>
              <m:f>
                <m:num>
                  <m:r>
                    <m:t xml:space="preserve">1</m:t>
                  </m:r>
                </m:num>
                <m:den>
                  <m:rad>
                    <m:radPr>
                      <m:degHide m:val="1"/>
                    </m:radPr>
                    <m:deg/>
                    <m:e>
                      <m:r>
                        <m:t xml:space="preserve">2</m:t>
                      </m:r>
                      <m:r>
                        <m:t xml:space="preserve">π</m:t>
                      </m:r>
                      <m:r>
                        <m:t xml:space="preserve">(</m:t>
                      </m:r>
                      <m:sSubSup>
                        <m:e>
                          <m:r>
                            <m:t xml:space="preserve">σ</m:t>
                          </m:r>
                        </m:e>
                        <m:sub>
                          <m:r>
                            <m:t xml:space="preserve">t</m:t>
                          </m:r>
                        </m:sub>
                        <m:sup>
                          <m:r>
                            <m:t xml:space="preserve">2</m:t>
                          </m:r>
                        </m:sup>
                      </m:sSubSup>
                      <m:r>
                        <m:t xml:space="preserve">+</m:t>
                      </m:r>
                      <m:sSup>
                        <m:e>
                          <m:r>
                            <m:t xml:space="preserve">γ</m:t>
                          </m:r>
                        </m:e>
                        <m:sup>
                          <m:r>
                            <m:t xml:space="preserve">2</m:t>
                          </m:r>
                        </m:sup>
                      </m:sSup>
                      <m:r>
                        <m:t xml:space="preserve">)</m:t>
                      </m:r>
                    </m:e>
                  </m:rad>
                </m:den>
              </m:f>
              <m:r>
                <m:rPr>
                  <m:lit/>
                  <m:nor/>
                </m:rPr>
                <m:t xml:space="preserve">exp</m:t>
              </m:r>
              <m:d>
                <m:dPr>
                  <m:begChr m:val="("/>
                  <m:endChr m:val=")"/>
                </m:dPr>
                <m:e>
                  <m:r>
                    <m:t xml:space="preserve">−</m:t>
                  </m:r>
                  <m:f>
                    <m:num>
                      <m:r>
                        <m:t xml:space="preserve">(</m:t>
                      </m:r>
                      <m:sSub>
                        <m:e>
                          <m:r>
                            <m:t xml:space="preserve">y</m:t>
                          </m:r>
                        </m:e>
                        <m:sub>
                          <m:r>
                            <m:t xml:space="preserve">t</m:t>
                          </m:r>
                        </m:sub>
                      </m:sSub>
                      <m:r>
                        <m:t xml:space="preserve">−</m:t>
                      </m:r>
                      <m:r>
                        <m:t xml:space="preserve">κ</m:t>
                      </m:r>
                      <m:r>
                        <m:t xml:space="preserve">−</m:t>
                      </m:r>
                      <m:r>
                        <m:t xml:space="preserve">μ</m:t>
                      </m:r>
                      <m:sSup>
                        <m:e>
                          <m:r>
                            <m:t xml:space="preserve">)</m:t>
                          </m:r>
                        </m:e>
                        <m:sup>
                          <m:r>
                            <m:t xml:space="preserve">2</m:t>
                          </m:r>
                        </m:sup>
                      </m:sSup>
                    </m:num>
                    <m:den>
                      <m:r>
                        <m:t xml:space="preserve">2</m:t>
                      </m:r>
                      <m:r>
                        <m:t xml:space="preserve">(</m:t>
                      </m:r>
                      <m:sSubSup>
                        <m:e>
                          <m:r>
                            <m:t xml:space="preserve">σ</m:t>
                          </m:r>
                        </m:e>
                        <m:sub>
                          <m:r>
                            <m:t xml:space="preserve">t</m:t>
                          </m:r>
                        </m:sub>
                        <m:sup>
                          <m:r>
                            <m:t xml:space="preserve">2</m:t>
                          </m:r>
                        </m:sup>
                      </m:sSubSup>
                      <m:r>
                        <m:t xml:space="preserve">+</m:t>
                      </m:r>
                      <m:sSup>
                        <m:e>
                          <m:r>
                            <m:t xml:space="preserve">γ</m:t>
                          </m:r>
                        </m:e>
                        <m:sup>
                          <m:r>
                            <m:t xml:space="preserve">2</m:t>
                          </m:r>
                        </m:sup>
                      </m:sSup>
                      <m:r>
                        <m:t xml:space="preserve">)</m:t>
                      </m:r>
                    </m:den>
                  </m:f>
                </m:e>
              </m:d>
            </m:e>
          </m:eqArr>
        </m:oMath>
      </m:oMathPara>
    </w:p>
    <w:p>
      <w:pPr>
        <w:pStyle w:val="FootnoteText"/>
        <w:rPr>
          <w:color w:val="auto"/>
        </w:rPr>
      </w:pPr>
      <w:r>
        <w:rPr>
          <w:color w:val="auto"/>
        </w:rPr>
      </w:r>
    </w:p>
  </w:footnote>
  <w:footnote w:id="4">
    <w:p>
      <w:pPr>
        <w:pStyle w:val="FootnoteText"/>
        <w:rPr/>
      </w:pPr>
      <w:r>
        <w:rPr>
          <w:rStyle w:val="FootnoteCharacters"/>
        </w:rPr>
        <w:footnoteRef/>
      </w:r>
      <w:r>
        <w:rPr/>
        <w:t xml:space="preserve"> </w:t>
      </w:r>
      <w:r>
        <w:rPr/>
        <w:t>The unconditional variance for a GARCH(1,1) process is</w:t>
      </w:r>
      <w:r>
        <w:rPr/>
      </w:r>
      <m:oMath xmlns:m="http://schemas.openxmlformats.org/officeDocument/2006/math">
        <m:sSup>
          <m:e>
            <m:r>
              <m:t xml:space="preserve">σ</m:t>
            </m:r>
          </m:e>
          <m:sup>
            <m:r>
              <m:t xml:space="preserve">2</m:t>
            </m:r>
          </m:sup>
        </m:sSup>
        <m:r>
          <m:t xml:space="preserve">=</m:t>
        </m:r>
        <m:f>
          <m:num>
            <m:sSub>
              <m:e>
                <m:r>
                  <m:t xml:space="preserve">α</m:t>
                </m:r>
              </m:e>
              <m:sub>
                <m:r>
                  <m:t xml:space="preserve">0</m:t>
                </m:r>
              </m:sub>
            </m:sSub>
          </m:num>
          <m:den>
            <m:d>
              <m:dPr>
                <m:begChr m:val="("/>
                <m:endChr m:val=")"/>
              </m:dPr>
              <m:e>
                <m:r>
                  <m:t xml:space="preserve">1</m:t>
                </m:r>
                <m:r>
                  <m:t xml:space="preserve">−</m:t>
                </m:r>
                <m:sSub>
                  <m:e>
                    <m:r>
                      <m:t xml:space="preserve">α</m:t>
                    </m:r>
                  </m:e>
                  <m:sub>
                    <m:r>
                      <m:t xml:space="preserve">1</m:t>
                    </m:r>
                  </m:sub>
                </m:sSub>
                <m:r>
                  <m:t xml:space="preserve">−</m:t>
                </m:r>
                <m:sSub>
                  <m:e>
                    <m:r>
                      <m:t xml:space="preserve">β</m:t>
                    </m:r>
                  </m:e>
                  <m:sub>
                    <m:r>
                      <m:t xml:space="preserve">1</m:t>
                    </m:r>
                  </m:sub>
                </m:sSub>
              </m:e>
            </m:d>
          </m:den>
        </m:f>
      </m:oMath>
    </w:p>
  </w:footnote>
  <w:footnote w:id="5">
    <w:p>
      <w:pPr>
        <w:pStyle w:val="FootnoteText"/>
        <w:rPr/>
      </w:pPr>
      <w:r>
        <w:rPr>
          <w:rStyle w:val="FootnoteCharacters"/>
        </w:rPr>
        <w:footnoteRef/>
      </w:r>
      <w:r>
        <w:rPr/>
        <w:t xml:space="preserve"> </w:t>
      </w:r>
      <w:r>
        <w:rPr/>
        <w:t>We define the total variance for the jump models to be equal to</w:t>
      </w:r>
      <w:r>
        <w:rPr/>
      </w:r>
      <m:oMath xmlns:m="http://schemas.openxmlformats.org/officeDocument/2006/math">
        <m:sSup>
          <m:e>
            <m:r>
              <m:t xml:space="preserve">σ</m:t>
            </m:r>
          </m:e>
          <m:sup>
            <m:r>
              <m:t xml:space="preserve">2</m:t>
            </m:r>
          </m:sup>
        </m:sSup>
        <m:r>
          <m:t xml:space="preserve">+</m:t>
        </m:r>
        <m:r>
          <m:t xml:space="preserve">φ</m:t>
        </m:r>
        <m:r>
          <m:t xml:space="preserve">⋅</m:t>
        </m:r>
        <m:sSup>
          <m:e>
            <m:r>
              <m:t xml:space="preserve">γ</m:t>
            </m:r>
          </m:e>
          <m:sup>
            <m:r>
              <m:t xml:space="preserve">2</m:t>
            </m:r>
          </m:sup>
        </m:sSup>
      </m:oMath>
      <w:r>
        <w:rPr/>
        <w:t xml:space="preserve">, where </w:t>
      </w:r>
      <w:r>
        <w:rPr>
          <w:rFonts w:eastAsia="Symbol" w:cs="Symbol" w:ascii="Symbol" w:hAnsi="Symbol"/>
        </w:rPr>
        <w:sym w:font="Symbol" w:char="f073"/>
      </w:r>
      <w:r>
        <w:rPr>
          <w:vertAlign w:val="superscript"/>
        </w:rPr>
        <w:t>2</w:t>
      </w:r>
      <w:r>
        <w:rPr/>
        <w:t xml:space="preserve"> is the unconditional mean.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Volatility Estimation in Energy Markets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spacing w:lineRule="auto" w:line="360"/>
      <w:textAlignment w:val="baseline"/>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sz w:val="28"/>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spacing w:lineRule="auto" w:line="240"/>
      <w:jc w:val="center"/>
    </w:pPr>
    <w:rPr>
      <w:b/>
      <w:sz w:val="40"/>
    </w:rPr>
  </w:style>
  <w:style w:type="paragraph" w:styleId="List">
    <w:name w:val="List"/>
    <w:basedOn w:val="BodyText"/>
    <w:pPr/>
    <w:rPr>
      <w:rFonts w:cs="NotoSans NF"/>
    </w:rPr>
  </w:style>
  <w:style w:type="paragraph" w:styleId="Caption">
    <w:name w:val="caption"/>
    <w:basedOn w:val="Normal"/>
    <w:next w:val="Normal"/>
    <w:qFormat/>
    <w:pPr>
      <w:overflowPunct w:val="true"/>
      <w:autoSpaceDE w:val="true"/>
      <w:spacing w:lineRule="auto" w:line="240" w:before="120" w:after="120"/>
      <w:textAlignment w:val="auto"/>
    </w:pPr>
    <w:rPr>
      <w:b/>
      <w:color w:val="000000"/>
      <w:sz w:val="20"/>
      <w:lang w:val="en-U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Equation">
    <w:name w:val="Equation"/>
    <w:basedOn w:val="Normal"/>
    <w:qFormat/>
    <w:pPr>
      <w:tabs>
        <w:tab w:val="clear" w:pos="720"/>
        <w:tab w:val="center" w:pos="4320" w:leader="none"/>
        <w:tab w:val="left" w:pos="8100" w:leader="none"/>
      </w:tabs>
    </w:pPr>
    <w:rPr/>
  </w:style>
  <w:style w:type="paragraph" w:styleId="FootnoteText">
    <w:name w:val="footnote text"/>
    <w:basedOn w:val="Normal"/>
    <w:pPr>
      <w:spacing w:lineRule="auto" w:line="240"/>
      <w:ind w:hanging="720" w:start="720" w:end="0"/>
    </w:pPr>
    <w:rPr>
      <w:sz w:val="20"/>
    </w:rPr>
  </w:style>
  <w:style w:type="paragraph" w:styleId="STANDARDPARALEVEL">
    <w:name w:val="STANDARD PARA LEVEL"/>
    <w:qFormat/>
    <w:pPr>
      <w:widowControl/>
      <w:overflowPunct w:val="false"/>
      <w:autoSpaceDE w:val="false"/>
      <w:bidi w:val="0"/>
      <w:spacing w:lineRule="exact" w:line="240"/>
      <w:ind w:hanging="0" w:start="720" w:end="0"/>
      <w:textAlignment w:val="baseline"/>
    </w:pPr>
    <w:rPr>
      <w:rFonts w:ascii="Palatino" w:hAnsi="Palatino" w:eastAsia="Times New Roman" w:cs="Palatino"/>
      <w:color w:val="auto"/>
      <w:sz w:val="22"/>
      <w:szCs w:val="20"/>
      <w:lang w:val="en-GB" w:bidi="ar-SA" w:eastAsia="zh-CN"/>
    </w:rPr>
  </w:style>
  <w:style w:type="paragraph" w:styleId="smtxtHEADING3">
    <w:name w:val="(smtxt) HEADING 3"/>
    <w:basedOn w:val="Normal"/>
    <w:next w:val="smtxtNORMAL"/>
    <w:qFormat/>
    <w:pPr>
      <w:spacing w:lineRule="auto" w:line="240"/>
    </w:pPr>
    <w:rPr>
      <w:color w:val="800000"/>
      <w:sz w:val="42"/>
      <w:u w:val="single"/>
    </w:rPr>
  </w:style>
  <w:style w:type="paragraph" w:styleId="smtxtNORMAL">
    <w:name w:val="(smtxt) NORMAL"/>
    <w:basedOn w:val="Normal"/>
    <w:qFormat/>
    <w:pPr>
      <w:spacing w:lineRule="auto" w:line="240"/>
    </w:pPr>
    <w:rPr>
      <w:color w:val="000080"/>
      <w:sz w:val="42"/>
    </w:rPr>
  </w:style>
  <w:style w:type="paragraph" w:styleId="smtxtHEADING2">
    <w:name w:val="(smtxt) HEADING 2"/>
    <w:basedOn w:val="Normal"/>
    <w:next w:val="smtxtNORMAL"/>
    <w:qFormat/>
    <w:pPr>
      <w:spacing w:lineRule="auto" w:line="240"/>
    </w:pPr>
    <w:rPr>
      <w:b/>
      <w:color w:val="800000"/>
      <w:sz w:val="40"/>
    </w:rPr>
  </w:style>
  <w:style w:type="paragraph" w:styleId="smtxtNMLINDENT">
    <w:name w:val="(smtxt) NML INDENT"/>
    <w:basedOn w:val="Normal"/>
    <w:next w:val="smtxtNORMAL"/>
    <w:qFormat/>
    <w:pPr>
      <w:spacing w:lineRule="auto" w:line="240"/>
      <w:ind w:hanging="0" w:start="720" w:end="0"/>
    </w:pPr>
    <w:rPr>
      <w:color w:val="000080"/>
      <w:sz w:val="42"/>
    </w:rPr>
  </w:style>
  <w:style w:type="paragraph" w:styleId="P2">
    <w:name w:val="P2"/>
    <w:qFormat/>
    <w:pPr>
      <w:widowControl/>
      <w:overflowPunct w:val="false"/>
      <w:autoSpaceDE w:val="false"/>
      <w:bidi w:val="0"/>
      <w:spacing w:lineRule="atLeast" w:line="480"/>
      <w:ind w:hanging="0" w:start="1440" w:end="0"/>
      <w:textAlignment w:val="baseline"/>
    </w:pPr>
    <w:rPr>
      <w:rFonts w:ascii="Palatino" w:hAnsi="Palatino" w:eastAsia="Times New Roman" w:cs="Palatino"/>
      <w:color w:val="0000FF"/>
      <w:sz w:val="22"/>
      <w:szCs w:val="20"/>
      <w:lang w:val="en-GB" w:bidi="ar-SA" w:eastAsia="zh-CN"/>
    </w:rPr>
  </w:style>
  <w:style w:type="paragraph" w:styleId="P3">
    <w:name w:val="P3"/>
    <w:qFormat/>
    <w:pPr>
      <w:widowControl/>
      <w:overflowPunct w:val="false"/>
      <w:autoSpaceDE w:val="false"/>
      <w:bidi w:val="0"/>
      <w:spacing w:lineRule="atLeast" w:line="480"/>
      <w:ind w:hanging="0" w:start="2160" w:end="0"/>
      <w:textAlignment w:val="baseline"/>
    </w:pPr>
    <w:rPr>
      <w:rFonts w:ascii="Palatino" w:hAnsi="Palatino" w:eastAsia="Times New Roman" w:cs="Palatino"/>
      <w:color w:val="0000FF"/>
      <w:sz w:val="22"/>
      <w:szCs w:val="20"/>
      <w:lang w:val="en-GB" w:bidi="ar-SA" w:eastAsia="zh-CN"/>
    </w:rPr>
  </w:style>
  <w:style w:type="paragraph" w:styleId="P4">
    <w:name w:val="P4"/>
    <w:qFormat/>
    <w:pPr>
      <w:widowControl/>
      <w:overflowPunct w:val="false"/>
      <w:autoSpaceDE w:val="false"/>
      <w:bidi w:val="0"/>
      <w:spacing w:lineRule="atLeast" w:line="480"/>
      <w:ind w:hanging="0" w:start="2880" w:end="0"/>
      <w:textAlignment w:val="baseline"/>
    </w:pPr>
    <w:rPr>
      <w:rFonts w:ascii="Palatino" w:hAnsi="Palatino" w:eastAsia="Times New Roman" w:cs="Palatino"/>
      <w:color w:val="0000FF"/>
      <w:sz w:val="22"/>
      <w:szCs w:val="20"/>
      <w:lang w:val="en-GB" w:bidi="ar-SA" w:eastAsia="zh-CN"/>
    </w:rPr>
  </w:style>
  <w:style w:type="paragraph" w:styleId="P5">
    <w:name w:val="P5"/>
    <w:qFormat/>
    <w:pPr>
      <w:widowControl/>
      <w:overflowPunct w:val="false"/>
      <w:autoSpaceDE w:val="false"/>
      <w:bidi w:val="0"/>
      <w:spacing w:lineRule="atLeast" w:line="480"/>
      <w:ind w:hanging="0" w:start="3600" w:end="0"/>
      <w:textAlignment w:val="baseline"/>
    </w:pPr>
    <w:rPr>
      <w:rFonts w:ascii="Palatino" w:hAnsi="Palatino" w:eastAsia="Times New Roman" w:cs="Palatino"/>
      <w:color w:val="0000FF"/>
      <w:sz w:val="22"/>
      <w:szCs w:val="20"/>
      <w:lang w:val="en-GB" w:bidi="ar-SA" w:eastAsia="zh-CN"/>
    </w:rPr>
  </w:style>
  <w:style w:type="paragraph" w:styleId="O1">
    <w:name w:val="O1"/>
    <w:qFormat/>
    <w:pPr>
      <w:widowControl/>
      <w:overflowPunct w:val="false"/>
      <w:autoSpaceDE w:val="false"/>
      <w:bidi w:val="0"/>
      <w:spacing w:lineRule="atLeast" w:line="480"/>
      <w:ind w:hanging="720" w:start="720" w:end="0"/>
      <w:textAlignment w:val="baseline"/>
    </w:pPr>
    <w:rPr>
      <w:rFonts w:ascii="Palatino" w:hAnsi="Palatino" w:eastAsia="Times New Roman" w:cs="Palatino"/>
      <w:color w:val="0000FF"/>
      <w:sz w:val="22"/>
      <w:szCs w:val="20"/>
      <w:lang w:val="en-GB" w:bidi="ar-SA" w:eastAsia="zh-CN"/>
    </w:rPr>
  </w:style>
  <w:style w:type="paragraph" w:styleId="QuotationsPara">
    <w:name w:val="Quotations Para"/>
    <w:qFormat/>
    <w:pPr>
      <w:widowControl/>
      <w:overflowPunct w:val="false"/>
      <w:autoSpaceDE w:val="false"/>
      <w:bidi w:val="0"/>
      <w:spacing w:lineRule="atLeast" w:line="360"/>
      <w:ind w:hanging="0" w:start="720" w:end="1440"/>
      <w:jc w:val="both"/>
      <w:textAlignment w:val="baseline"/>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overflowPunct w:val="false"/>
      <w:autoSpaceDE w:val="false"/>
      <w:bidi w:val="0"/>
      <w:spacing w:lineRule="atLeast" w:line="480"/>
      <w:jc w:val="end"/>
      <w:textAlignment w:val="baseline"/>
    </w:pPr>
    <w:rPr>
      <w:rFonts w:ascii="Palatino" w:hAnsi="Palatino" w:eastAsia="Times New Roman" w:cs="Palatino"/>
      <w:color w:val="0000FF"/>
      <w:sz w:val="22"/>
      <w:szCs w:val="20"/>
      <w:lang w:val="en-GB" w:bidi="ar-SA" w:eastAsia="zh-CN"/>
    </w:rPr>
  </w:style>
  <w:style w:type="paragraph" w:styleId="ReferencesPara">
    <w:name w:val="References Para"/>
    <w:qFormat/>
    <w:pPr>
      <w:widowControl/>
      <w:overflowPunct w:val="false"/>
      <w:autoSpaceDE w:val="false"/>
      <w:bidi w:val="0"/>
      <w:spacing w:lineRule="atLeast" w:line="360" w:before="120" w:after="0"/>
      <w:ind w:hanging="720" w:start="720" w:end="0"/>
      <w:textAlignment w:val="baseline"/>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overflowPunct w:val="false"/>
      <w:autoSpaceDE w:val="false"/>
      <w:bidi w:val="0"/>
      <w:jc w:val="center"/>
      <w:textAlignment w:val="baseline"/>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overflowPunct w:val="false"/>
      <w:autoSpaceDE w:val="false"/>
      <w:bidi w:val="0"/>
      <w:jc w:val="center"/>
      <w:textAlignment w:val="baseline"/>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overflowPunct w:val="false"/>
      <w:autoSpaceDE w:val="false"/>
      <w:bidi w:val="0"/>
      <w:spacing w:lineRule="atLeast" w:line="240"/>
      <w:jc w:val="center"/>
      <w:textAlignment w:val="baseline"/>
    </w:pPr>
    <w:rPr>
      <w:rFonts w:ascii="Palatino" w:hAnsi="Palatino" w:eastAsia="Times New Roman" w:cs="Palatino"/>
      <w:i/>
      <w:color w:val="008080"/>
      <w:sz w:val="18"/>
      <w:szCs w:val="20"/>
      <w:lang w:val="en-GB" w:bidi="ar-SA" w:eastAsia="zh-CN"/>
    </w:rPr>
  </w:style>
  <w:style w:type="paragraph" w:styleId="O2">
    <w:name w:val="O2"/>
    <w:qFormat/>
    <w:pPr>
      <w:widowControl/>
      <w:overflowPunct w:val="false"/>
      <w:autoSpaceDE w:val="false"/>
      <w:bidi w:val="0"/>
      <w:spacing w:lineRule="atLeast" w:line="480"/>
      <w:ind w:hanging="720" w:start="1440" w:end="0"/>
      <w:textAlignment w:val="baseline"/>
    </w:pPr>
    <w:rPr>
      <w:rFonts w:ascii="Palatino" w:hAnsi="Palatino" w:eastAsia="Times New Roman" w:cs="Palatino"/>
      <w:color w:val="0000FF"/>
      <w:sz w:val="22"/>
      <w:szCs w:val="20"/>
      <w:lang w:val="en-GB" w:bidi="ar-SA" w:eastAsia="zh-CN"/>
    </w:rPr>
  </w:style>
  <w:style w:type="paragraph" w:styleId="O3">
    <w:name w:val="O3"/>
    <w:qFormat/>
    <w:pPr>
      <w:widowControl/>
      <w:overflowPunct w:val="false"/>
      <w:autoSpaceDE w:val="false"/>
      <w:bidi w:val="0"/>
      <w:spacing w:lineRule="atLeast" w:line="480"/>
      <w:ind w:hanging="720" w:start="2160" w:end="0"/>
      <w:textAlignment w:val="baseline"/>
    </w:pPr>
    <w:rPr>
      <w:rFonts w:ascii="Palatino" w:hAnsi="Palatino" w:eastAsia="Times New Roman" w:cs="Palatino"/>
      <w:color w:val="0000FF"/>
      <w:sz w:val="22"/>
      <w:szCs w:val="20"/>
      <w:lang w:val="en-GB" w:bidi="ar-SA" w:eastAsia="zh-CN"/>
    </w:rPr>
  </w:style>
  <w:style w:type="paragraph" w:styleId="O4">
    <w:name w:val="O4"/>
    <w:qFormat/>
    <w:pPr>
      <w:widowControl/>
      <w:overflowPunct w:val="false"/>
      <w:autoSpaceDE w:val="false"/>
      <w:bidi w:val="0"/>
      <w:spacing w:lineRule="atLeast" w:line="480"/>
      <w:ind w:hanging="720" w:start="2880" w:end="0"/>
      <w:textAlignment w:val="baseline"/>
    </w:pPr>
    <w:rPr>
      <w:rFonts w:ascii="Palatino" w:hAnsi="Palatino" w:eastAsia="Times New Roman" w:cs="Palatino"/>
      <w:color w:val="0000FF"/>
      <w:sz w:val="22"/>
      <w:szCs w:val="20"/>
      <w:lang w:val="en-GB" w:bidi="ar-SA" w:eastAsia="zh-CN"/>
    </w:rPr>
  </w:style>
  <w:style w:type="paragraph" w:styleId="O5">
    <w:name w:val="O5"/>
    <w:qFormat/>
    <w:pPr>
      <w:widowControl/>
      <w:overflowPunct w:val="false"/>
      <w:autoSpaceDE w:val="false"/>
      <w:bidi w:val="0"/>
      <w:spacing w:lineRule="atLeast" w:line="480"/>
      <w:ind w:hanging="720" w:start="3600" w:end="0"/>
      <w:textAlignment w:val="baseline"/>
    </w:pPr>
    <w:rPr>
      <w:rFonts w:ascii="Palatino" w:hAnsi="Palatino" w:eastAsia="Times New Roman" w:cs="Palatino"/>
      <w:color w:val="0000FF"/>
      <w:sz w:val="22"/>
      <w:szCs w:val="20"/>
      <w:lang w:val="en-GB" w:bidi="ar-SA" w:eastAsia="zh-CN"/>
    </w:rPr>
  </w:style>
  <w:style w:type="paragraph" w:styleId="TI">
    <w:name w:val="TI"/>
    <w:qFormat/>
    <w:pPr>
      <w:widowControl/>
      <w:overflowPunct w:val="false"/>
      <w:autoSpaceDE w:val="false"/>
      <w:bidi w:val="0"/>
      <w:jc w:val="center"/>
      <w:textAlignment w:val="baseline"/>
    </w:pPr>
    <w:rPr>
      <w:rFonts w:ascii="palantino" w:hAnsi="palantino" w:eastAsia="Times New Roman" w:cs="palantino"/>
      <w:b/>
      <w:i/>
      <w:color w:val="auto"/>
      <w:sz w:val="38"/>
      <w:szCs w:val="20"/>
      <w:lang w:val="en-US" w:bidi="ar-SA" w:eastAsia="zh-CN"/>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right" w:pos="8064" w:leader="none"/>
      </w:tabs>
      <w:spacing w:lineRule="atLeast" w:line="240"/>
      <w:jc w:val="center"/>
    </w:pPr>
    <w:rPr>
      <w:sz w:val="40"/>
    </w:rPr>
  </w:style>
  <w:style w:type="paragraph" w:styleId="Pseudo-code">
    <w:name w:val="Pseudo-code"/>
    <w:basedOn w:val="Normal"/>
    <w:qFormat/>
    <w:pPr/>
    <w:rPr>
      <w:rFonts w:ascii="Courier New" w:hAnsi="Courier New" w:cs="Courier New"/>
      <w:sz w:val="28"/>
    </w:rPr>
  </w:style>
  <w:style w:type="paragraph" w:styleId="CommentText">
    <w:name w:val="Comment Text"/>
    <w:basedOn w:val="Normal"/>
    <w:qFormat/>
    <w:pPr/>
    <w:rPr>
      <w:sz w:val="20"/>
    </w:rPr>
  </w:style>
  <w:style w:type="paragraph" w:styleId="Figureheader">
    <w:name w:val="Figure header"/>
    <w:basedOn w:val="Normal"/>
    <w:qFormat/>
    <w:pPr>
      <w:jc w:val="center"/>
    </w:pPr>
    <w:rPr>
      <w:b/>
      <w:color w:val="FF00FF"/>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BodyText3">
    <w:name w:val="Body Text 3"/>
    <w:basedOn w:val="Normal"/>
    <w:qFormat/>
    <w:pPr/>
    <w:rPr>
      <w:i/>
      <w:iCs/>
    </w:rPr>
  </w:style>
  <w:style w:type="paragraph" w:styleId="endnotetext1">
    <w:name w:val="endnote text1"/>
    <w:basedOn w:val="Normal"/>
    <w:qFormat/>
    <w:pPr>
      <w:spacing w:lineRule="auto" w:line="240"/>
    </w:pPr>
    <w:rPr>
      <w:color w:val="000000"/>
      <w:sz w:val="20"/>
      <w:lang w:val="en-US"/>
    </w:rPr>
  </w:style>
  <w:style w:type="paragraph" w:styleId="BlockText">
    <w:name w:val="Block Text"/>
    <w:basedOn w:val="Normal"/>
    <w:qFormat/>
    <w:pPr>
      <w:ind w:hanging="0" w:start="720" w:end="720"/>
    </w:pPr>
    <w:rPr>
      <w:color w:val="000000"/>
    </w:rPr>
  </w:style>
  <w:style w:type="paragraph" w:styleId="EndnoteText">
    <w:name w:val="end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oleObject" Target="embeddings/oleObject4.bin"/><Relationship Id="rId9" Type="http://schemas.openxmlformats.org/officeDocument/2006/relationships/image" Target="media/image4.wmf"/><Relationship Id="rId10" Type="http://schemas.openxmlformats.org/officeDocument/2006/relationships/oleObject" Target="embeddings/oleObject5.bin"/><Relationship Id="rId11" Type="http://schemas.openxmlformats.org/officeDocument/2006/relationships/image" Target="media/image4.wmf"/><Relationship Id="rId12" Type="http://schemas.openxmlformats.org/officeDocument/2006/relationships/package" Target="embeddings/oleObject6.xlsx"/><Relationship Id="rId13" Type="http://schemas.openxmlformats.org/officeDocument/2006/relationships/image" Target="media/image5.wmf"/><Relationship Id="rId14" Type="http://schemas.openxmlformats.org/officeDocument/2006/relationships/package" Target="embeddings/oleObject7.xlsx"/><Relationship Id="rId15" Type="http://schemas.openxmlformats.org/officeDocument/2006/relationships/image" Target="media/image6.wmf"/><Relationship Id="rId16" Type="http://schemas.openxmlformats.org/officeDocument/2006/relationships/package" Target="embeddings/oleObject8.xlsx"/><Relationship Id="rId17" Type="http://schemas.openxmlformats.org/officeDocument/2006/relationships/image" Target="media/image7.wmf"/><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2000-07-26T13:39:00Z</dcterms:created>
  <dc:creator>Chris Strickland</dc:creator>
  <dc:description/>
  <dc:language>en-CA</dc:language>
  <cp:lastModifiedBy>Grant Masson</cp:lastModifiedBy>
  <cp:lastPrinted>2000-08-08T17:19:00Z</cp:lastPrinted>
  <dcterms:modified xsi:type="dcterms:W3CDTF">2000-08-08T20:40:00Z</dcterms:modified>
  <cp:revision>51</cp:revision>
  <dc:subject>Introduction and outline</dc:subject>
  <dc:title>Numerical Methods Course (session 01)</dc:title>
</cp:coreProperties>
</file>