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00"/>
        </w:rPr>
      </w:pPr>
      <w:r>
        <w:rPr>
          <w:color w:val="000000"/>
        </w:rPr>
        <w:t>Chapter 3</w:t>
      </w:r>
    </w:p>
    <w:p>
      <w:pPr>
        <w:pStyle w:val="Normal"/>
        <w:jc w:val="center"/>
        <w:rPr>
          <w:b/>
          <w:color w:val="000000"/>
          <w:sz w:val="32"/>
        </w:rPr>
      </w:pPr>
      <w:r>
        <w:rPr>
          <w:b/>
          <w:color w:val="000000"/>
          <w:sz w:val="32"/>
        </w:rPr>
      </w:r>
    </w:p>
    <w:p>
      <w:pPr>
        <w:pStyle w:val="Heading1"/>
        <w:ind w:hanging="0" w:start="0"/>
        <w:rPr>
          <w:bCs/>
          <w:color w:val="000000"/>
        </w:rPr>
      </w:pPr>
      <w:r>
        <w:rPr>
          <w:bCs/>
          <w:color w:val="000000"/>
        </w:rPr>
        <w:t>Volatility Estimation in Energy Markets</w:t>
      </w:r>
    </w:p>
    <w:p>
      <w:pPr>
        <w:pStyle w:val="Normal"/>
        <w:rPr>
          <w:bCs/>
          <w:color w:val="000000"/>
        </w:rPr>
      </w:pPr>
      <w:r>
        <w:rPr>
          <w:bCs/>
          <w:color w:val="000000"/>
        </w:rPr>
      </w:r>
    </w:p>
    <w:p>
      <w:pPr>
        <w:pStyle w:val="Normal"/>
        <w:jc w:val="center"/>
        <w:rPr>
          <w:b/>
          <w:bCs/>
          <w:color w:val="000000"/>
          <w:sz w:val="28"/>
        </w:rPr>
      </w:pPr>
      <w:r>
        <w:rPr>
          <w:b/>
          <w:bCs/>
          <w:color w:val="000000"/>
          <w:sz w:val="28"/>
        </w:rPr>
        <w:t>By Vince Kaminski, Grant Masson, and Ronnie Chahal</w:t>
      </w:r>
    </w:p>
    <w:p>
      <w:pPr>
        <w:pStyle w:val="Normal"/>
        <w:jc w:val="center"/>
        <w:rPr>
          <w:b/>
          <w:bCs/>
          <w:color w:val="000000"/>
          <w:sz w:val="28"/>
        </w:rPr>
      </w:pPr>
      <w:r>
        <w:rPr>
          <w:b/>
          <w:bCs/>
          <w:color w:val="000000"/>
          <w:sz w:val="28"/>
        </w:rPr>
        <w:t>Enron Corp.</w:t>
      </w:r>
    </w:p>
    <w:p>
      <w:pPr>
        <w:pStyle w:val="Normal"/>
        <w:jc w:val="end"/>
        <w:rPr/>
      </w:pPr>
      <w:r>
        <w:rPr>
          <w:i/>
          <w:iCs/>
          <w:color w:val="000000"/>
        </w:rPr>
        <w:t>8pm 29</w:t>
      </w:r>
      <w:r>
        <w:rPr>
          <w:i/>
          <w:iCs/>
          <w:color w:val="000000"/>
          <w:vertAlign w:val="superscript"/>
        </w:rPr>
        <w:t>th</w:t>
      </w:r>
      <w:r>
        <w:rPr>
          <w:i/>
          <w:iCs/>
          <w:color w:val="000000"/>
        </w:rPr>
        <w:t xml:space="preserve"> June 2000</w:t>
      </w:r>
    </w:p>
    <w:p>
      <w:pPr>
        <w:pStyle w:val="Normal"/>
        <w:rPr>
          <w:i/>
          <w:i/>
          <w:iCs/>
          <w:color w:val="000000"/>
        </w:rPr>
      </w:pPr>
      <w:r>
        <w:rPr>
          <w:i/>
          <w:iCs/>
          <w:color w:val="000000"/>
        </w:rPr>
      </w:r>
    </w:p>
    <w:p>
      <w:pPr>
        <w:pStyle w:val="Heading2"/>
        <w:ind w:hanging="0" w:start="0"/>
        <w:rPr>
          <w:color w:val="000000"/>
        </w:rPr>
      </w:pPr>
      <w:r>
        <w:rPr>
          <w:color w:val="000000"/>
        </w:rPr>
        <w:t>3.1</w:t>
        <w:tab/>
        <w:t>Introduction</w:t>
      </w:r>
    </w:p>
    <w:p>
      <w:pPr>
        <w:pStyle w:val="Normal"/>
        <w:rPr>
          <w:color w:val="000000"/>
        </w:rPr>
      </w:pPr>
      <w:r>
        <w:rPr>
          <w:color w:val="000000"/>
        </w:rPr>
      </w:r>
    </w:p>
    <w:p>
      <w:pPr>
        <w:pStyle w:val="Normal"/>
        <w:rPr>
          <w:color w:val="000000"/>
        </w:rPr>
      </w:pPr>
      <w:r>
        <w:rPr>
          <w:color w:val="000000"/>
        </w:rPr>
        <w:t>Volatility is one of the critical concepts in option pricing and risk management.  Organized exchanges use volatility of the underlying commodities to determine the required level of margins that futures traders are required to post with the clearing house.  Volatility has been traditionally defined as the standard deviation of price returns and is routinely estimated from historical price series in countless spreadsheets all over the world.  In spite of its popularity, the notion of volatility is often misunderstood, especially when one applies this tool to the energy markets.  This concept has been defined and extensively researched in the context of financial instruments and one has to be very careful making generalizations.  It is critical that in practical applications in the energy industry one makes an effort to capture the salient features of the energy markets.  The points to make are:</w:t>
      </w:r>
    </w:p>
    <w:p>
      <w:pPr>
        <w:pStyle w:val="Normal"/>
        <w:rPr>
          <w:color w:val="000000"/>
        </w:rPr>
      </w:pPr>
      <w:r>
        <w:rPr>
          <w:color w:val="000000"/>
        </w:rPr>
      </w:r>
    </w:p>
    <w:p>
      <w:pPr>
        <w:pStyle w:val="Normal"/>
        <w:numPr>
          <w:ilvl w:val="0"/>
          <w:numId w:val="2"/>
        </w:numPr>
        <w:ind w:hanging="360" w:start="720" w:end="720"/>
        <w:rPr>
          <w:color w:val="000000"/>
        </w:rPr>
      </w:pPr>
      <w:r>
        <w:rPr>
          <w:color w:val="000000"/>
        </w:rPr>
        <w:t>Volatility can be defined and estimated in a meaningful way only in the context of a specific stochastic process for the prices (price returns).</w:t>
      </w:r>
    </w:p>
    <w:p>
      <w:pPr>
        <w:pStyle w:val="Normal"/>
        <w:rPr>
          <w:color w:val="000000"/>
        </w:rPr>
      </w:pPr>
      <w:r>
        <w:rPr>
          <w:color w:val="000000"/>
        </w:rPr>
      </w:r>
    </w:p>
    <w:p>
      <w:pPr>
        <w:pStyle w:val="Normal"/>
        <w:numPr>
          <w:ilvl w:val="0"/>
          <w:numId w:val="2"/>
        </w:numPr>
        <w:ind w:hanging="360" w:start="720" w:end="720"/>
        <w:rPr>
          <w:color w:val="000000"/>
        </w:rPr>
      </w:pPr>
      <w:r>
        <w:rPr>
          <w:color w:val="000000"/>
        </w:rPr>
        <w:t>The volatility definition and measure should capture the key features of energy markets, such as seasonal dependence on the price level</w:t>
      </w:r>
    </w:p>
    <w:p>
      <w:pPr>
        <w:pStyle w:val="Normal"/>
        <w:rPr>
          <w:color w:val="000000"/>
        </w:rPr>
      </w:pPr>
      <w:r>
        <w:rPr>
          <w:color w:val="000000"/>
        </w:rPr>
      </w:r>
    </w:p>
    <w:p>
      <w:pPr>
        <w:pStyle w:val="Normal"/>
        <w:rPr>
          <w:color w:val="000000"/>
        </w:rPr>
      </w:pPr>
      <w:r>
        <w:rPr>
          <w:color w:val="000000"/>
        </w:rPr>
        <w:t>In the following we identify a number of practical problems of price process modelling in energy markets.</w:t>
      </w:r>
    </w:p>
    <w:p>
      <w:pPr>
        <w:pStyle w:val="Normal"/>
        <w:rPr>
          <w:color w:val="000000"/>
        </w:rPr>
      </w:pPr>
      <w:r>
        <w:rPr>
          <w:color w:val="000000"/>
        </w:rPr>
      </w:r>
    </w:p>
    <w:p>
      <w:pPr>
        <w:pStyle w:val="Normal"/>
        <w:rPr>
          <w:color w:val="000000"/>
        </w:rPr>
      </w:pPr>
      <w:r>
        <w:rPr>
          <w:color w:val="000000"/>
        </w:rPr>
        <w:t>One implication of the assumption of the GBM process of equation (1.4) is the continuity of the line representing the sample trajectory of the price over time.  The line could be drawn, in principle, without removing the pencil from the sheet of paper.  The assumption of GBM as the process that describes the dynamics of the prices of financial instruments is an approximation of the behaviour observed in real markets and has to be treated as a stylised fact.  As a matter of fact, there is growing evidence that the behaviour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rPr>
          <w:color w:val="000000"/>
        </w:rPr>
      </w:pPr>
      <w:r>
        <w:rPr>
          <w:color w:val="000000"/>
        </w:rPr>
      </w:r>
    </w:p>
    <w:p>
      <w:pPr>
        <w:pStyle w:val="Normal"/>
        <w:rPr>
          <w:color w:val="000000"/>
        </w:rPr>
      </w:pPr>
      <w:r>
        <w:rPr>
          <w:color w:val="000000"/>
        </w:rPr>
        <w:t>The assumption of GBM strikes anyone with practical experience in energy commodity trading as an unrealistic description of the observed behaviour of energy prices.  This has been recognized by a growing number of academics and practitioners who have devoted a lot of attention to developing more realistic models of energy commodity price behaviour, many of which are referred to in the following pages.  What follows is a brief review of the most important issues that have been overlooked in early modelling efforts and have been fully addressed only in recent research.  One should note that energy commodities are not created equal and many of the observations made below apply only to some subsets of their entire universe.</w:t>
      </w:r>
    </w:p>
    <w:p>
      <w:pPr>
        <w:pStyle w:val="Normal"/>
        <w:rPr>
          <w:color w:val="000000"/>
        </w:rPr>
      </w:pPr>
      <w:r>
        <w:rPr>
          <w:color w:val="000000"/>
        </w:rPr>
      </w:r>
    </w:p>
    <w:p>
      <w:pPr>
        <w:pStyle w:val="Normal"/>
        <w:rPr/>
      </w:pPr>
      <w:r>
        <w:rPr>
          <w:i/>
          <w:iCs/>
          <w:color w:val="000000"/>
        </w:rPr>
        <w:t>Investment assets vs. consumption goods.</w:t>
      </w:r>
      <w:r>
        <w:rPr>
          <w:color w:val="000000"/>
        </w:rPr>
        <w:t xml:space="preserve">  The most obvious observation is that energy commodities cannot be treated as purely financial assets, which are treated by owners as an investment.  Energy commodities are inputs to production processes and/or consumption goods and this explains why many models based on a mechanical extension of the approach developed for financial markets may break down in the case of energy related contingent claims.  For example, the GBM assumption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This problem has been addressed by some recently published papers (see Routledge, Seppi, Spatt (1999)).</w:t>
      </w:r>
    </w:p>
    <w:p>
      <w:pPr>
        <w:pStyle w:val="Normal"/>
        <w:rPr>
          <w:color w:val="000000"/>
        </w:rPr>
      </w:pPr>
      <w:r>
        <w:rPr>
          <w:color w:val="000000"/>
        </w:rPr>
      </w:r>
    </w:p>
    <w:p>
      <w:pPr>
        <w:pStyle w:val="Normal"/>
        <w:rPr/>
      </w:pPr>
      <w:r>
        <w:rPr>
          <w:i/>
          <w:iCs/>
          <w:color w:val="000000"/>
        </w:rPr>
        <w:t>Prices of energy commodities display seasonality</w:t>
      </w:r>
      <w:r>
        <w:rPr>
          <w:color w:val="000000"/>
        </w:rPr>
        <w:t xml:space="preserve">.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Normal"/>
        <w:rPr>
          <w:color w:val="000000"/>
        </w:rPr>
      </w:pPr>
      <w:r>
        <w:rPr>
          <w:color w:val="000000"/>
        </w:rPr>
      </w:r>
    </w:p>
    <w:p>
      <w:pPr>
        <w:pStyle w:val="Normal"/>
        <w:rPr>
          <w:color w:val="000000"/>
        </w:rPr>
      </w:pPr>
      <w:r>
        <w:rPr>
          <w:color w:val="000000"/>
        </w:rPr>
        <w:t>Recognition of the existing and possibly changing patterns of seasonality creates a need for forward-looking modelling.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 (see for example Clewlow and Strickland (1999))</w:t>
      </w:r>
    </w:p>
    <w:p>
      <w:pPr>
        <w:pStyle w:val="Normal"/>
        <w:rPr>
          <w:color w:val="000000"/>
        </w:rPr>
      </w:pPr>
      <w:r>
        <w:rPr>
          <w:color w:val="000000"/>
        </w:rPr>
      </w:r>
    </w:p>
    <w:p>
      <w:pPr>
        <w:pStyle w:val="Normal"/>
        <w:rPr/>
      </w:pPr>
      <w:r>
        <w:rPr>
          <w:i/>
          <w:iCs/>
          <w:color w:val="000000"/>
        </w:rPr>
        <w:t>Commodity prices often display jump behaviour</w:t>
      </w:r>
      <w:r>
        <w:rPr>
          <w:color w:val="000000"/>
        </w:rPr>
        <w:t>.  Jump behaviour, or ‘gapping’, is driven in many cases by fluctuations in demand and low elasticity of supply, reflecting rigidities in the transportation and transmission system and limited inventories.  We saw in section 2.7 a model to incorporate this affect.</w:t>
      </w:r>
    </w:p>
    <w:p>
      <w:pPr>
        <w:pStyle w:val="Normal"/>
        <w:rPr>
          <w:color w:val="000000"/>
        </w:rPr>
      </w:pPr>
      <w:r>
        <w:rPr>
          <w:color w:val="000000"/>
        </w:rPr>
      </w:r>
    </w:p>
    <w:p>
      <w:pPr>
        <w:pStyle w:val="Normal"/>
        <w:rPr/>
      </w:pPr>
      <w:r>
        <w:rPr>
          <w:i/>
          <w:iCs/>
          <w:color w:val="000000"/>
        </w:rPr>
        <w:t>Prices gravitate to the cost of production</w:t>
      </w:r>
      <w:r>
        <w:rPr>
          <w:color w:val="000000"/>
        </w:rPr>
        <w:t>. The assumption of GBM allows prices to wander off to unrealistic levels. The same approach, used in the modelling of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This adjustment can be captured via mean reversion which was introduced in chapter 2.  One could argue that the use of a mean-reversion process represents another case of looking for the car keys under the street light, even if they were lost somewhere else.  Vasicek (1977) first used a mean reverting model for modelling interest rate dynamics and subsequently the model was widely adapted.  In the case of energy commodities, a pure mean reversion model may not perform well.  First of all, the speed of mean reversion may be different below and above the long-term level.  Secondly, in many markets, especially in the case of electricity, one can expect more departures to the upside, than to the downside</w:t>
      </w:r>
      <w:r>
        <w:rPr>
          <w:color w:val="000000"/>
          <w:vertAlign w:val="superscript"/>
        </w:rPr>
        <w:t>4</w:t>
      </w:r>
      <w:r>
        <w:rPr>
          <w:color w:val="000000"/>
        </w:rPr>
        <w:t>.  Thirdly, a price spike in one direction is frequently neutralized by a spike of similar magnitude and opposite sign, occurring shortly after the initial spike.  The mean reversion process generally produces a re-adjustment that is less abrupt.</w:t>
      </w:r>
    </w:p>
    <w:p>
      <w:pPr>
        <w:pStyle w:val="Normal"/>
        <w:rPr>
          <w:color w:val="000000"/>
        </w:rPr>
      </w:pPr>
      <w:r>
        <w:rPr>
          <w:color w:val="000000"/>
        </w:rPr>
      </w:r>
    </w:p>
    <w:p>
      <w:pPr>
        <w:pStyle w:val="Normal"/>
        <w:rPr/>
      </w:pPr>
      <w:r>
        <w:rPr>
          <w:i/>
          <w:iCs/>
          <w:color w:val="000000"/>
        </w:rPr>
        <w:t>Prices of energy commodities behave differently during different periods of their lives</w:t>
      </w:r>
      <w:r>
        <w:rPr>
          <w:color w:val="000000"/>
        </w:rPr>
        <w:t>. This is especially true of forward prices. According to the so-called Samuelson’s hypothesis</w:t>
      </w:r>
      <w:r>
        <w:rPr>
          <w:color w:val="000000"/>
          <w:vertAlign w:val="superscript"/>
        </w:rPr>
        <w:t>5</w:t>
      </w:r>
      <w:r>
        <w:rPr>
          <w:color w:val="000000"/>
        </w:rPr>
        <w:t>, forward price volatility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behaviour of prices becomes more erratic and subject to frequent  jumps</w:t>
      </w:r>
      <w:r>
        <w:rPr>
          <w:color w:val="000000"/>
          <w:vertAlign w:val="superscript"/>
        </w:rPr>
        <w:t>6</w:t>
      </w:r>
      <w:r>
        <w:rPr>
          <w:color w:val="000000"/>
        </w:rPr>
        <w:t>. This suggests that one can model price behaviour using more traditional apparatus like GBM or mean reversion during the forward stages of their life, switching to more complex processes to describe the dynamics of the spot price during the delivery month.</w:t>
      </w:r>
    </w:p>
    <w:p>
      <w:pPr>
        <w:pStyle w:val="Normal"/>
        <w:rPr>
          <w:color w:val="000000"/>
        </w:rPr>
      </w:pPr>
      <w:r>
        <w:rPr>
          <w:color w:val="000000"/>
        </w:rPr>
      </w:r>
    </w:p>
    <w:p>
      <w:pPr>
        <w:pStyle w:val="Heading2"/>
        <w:ind w:hanging="0" w:start="0"/>
        <w:rPr>
          <w:b w:val="false"/>
          <w:color w:val="000000"/>
        </w:rPr>
      </w:pPr>
      <w:r>
        <w:rPr>
          <w:color w:val="000000"/>
        </w:rPr>
        <w:t>3.3</w:t>
        <w:tab/>
        <w:t>Estimating Volatility</w:t>
      </w:r>
    </w:p>
    <w:p>
      <w:pPr>
        <w:pStyle w:val="Normal"/>
        <w:rPr>
          <w:b/>
          <w:color w:val="000000"/>
        </w:rPr>
      </w:pPr>
      <w:r>
        <w:rPr>
          <w:b/>
          <w:color w:val="000000"/>
        </w:rPr>
      </w:r>
    </w:p>
    <w:p>
      <w:pPr>
        <w:pStyle w:val="Normal"/>
        <w:rPr>
          <w:color w:val="000000"/>
        </w:rPr>
      </w:pPr>
      <w:r>
        <w:rPr>
          <w:color w:val="000000"/>
        </w:rPr>
        <w:t>In this section we look at issues concerning the estimation of volatility including both historical and implied measures.</w:t>
      </w:r>
    </w:p>
    <w:p>
      <w:pPr>
        <w:pStyle w:val="Normal"/>
        <w:rPr>
          <w:color w:val="000000"/>
        </w:rPr>
      </w:pPr>
      <w:r>
        <w:rPr>
          <w:color w:val="000000"/>
        </w:rPr>
      </w:r>
    </w:p>
    <w:p>
      <w:pPr>
        <w:pStyle w:val="Heading3"/>
        <w:ind w:hanging="0" w:start="0"/>
        <w:rPr>
          <w:color w:val="000000"/>
        </w:rPr>
      </w:pPr>
      <w:r>
        <w:rPr>
          <w:color w:val="000000"/>
        </w:rPr>
        <w:t>3.3.1</w:t>
        <w:tab/>
        <w:t>Estimation of Volatility From Historical Data</w:t>
      </w:r>
    </w:p>
    <w:p>
      <w:pPr>
        <w:pStyle w:val="Normal"/>
        <w:rPr>
          <w:color w:val="000000"/>
        </w:rPr>
      </w:pPr>
      <w:r>
        <w:rPr>
          <w:color w:val="000000"/>
        </w:rPr>
      </w:r>
    </w:p>
    <w:p>
      <w:pPr>
        <w:pStyle w:val="Normal"/>
        <w:rPr>
          <w:color w:val="000000"/>
        </w:rPr>
      </w:pPr>
      <w:r>
        <w:rPr>
          <w:color w:val="000000"/>
        </w:rPr>
        <w:t>The first step in the determination of the correct level of volatility is the examination of the historical price data.  In the case that the underlying spot price process is assumed to be GBM, volatility can be estimated from the historical price returns.  The process can be broken into several steps that can be easily carried out in a spreadsheet.</w:t>
      </w:r>
    </w:p>
    <w:p>
      <w:pPr>
        <w:pStyle w:val="Normal"/>
        <w:rPr>
          <w:color w:val="000000"/>
        </w:rPr>
      </w:pPr>
      <w:r>
        <w:rPr>
          <w:color w:val="000000"/>
        </w:rPr>
      </w:r>
    </w:p>
    <w:p>
      <w:pPr>
        <w:pStyle w:val="Normal"/>
        <w:rPr>
          <w:i/>
          <w:i/>
          <w:iCs/>
          <w:color w:val="000000"/>
        </w:rPr>
      </w:pPr>
      <w:r>
        <w:rPr>
          <w:i/>
          <w:iCs/>
          <w:color w:val="000000"/>
        </w:rPr>
        <w:t>Step 1. Calculate logarithmic price returns.</w:t>
      </w:r>
    </w:p>
    <w:p>
      <w:pPr>
        <w:pStyle w:val="Normal"/>
        <w:rPr/>
      </w:pPr>
      <w:r>
        <w:rPr>
          <w:color w:val="000000"/>
        </w:rPr>
        <w:t xml:space="preserve">This can be accomplished by forming the price ratios </w:t>
      </w:r>
      <w:r>
        <w:rPr>
          <w:color w:val="000000"/>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000000"/>
        </w:rPr>
        <w:t xml:space="preserve">and taking the natural logarithms of these ratios.  Price returns are typically calculated as </w:t>
      </w:r>
      <w:r>
        <w:rPr>
          <w:color w:val="000000"/>
        </w:rPr>
      </w:r>
      <m:oMath xmlns:m="http://schemas.openxmlformats.org/officeDocument/2006/math">
        <m:r>
          <m:t xml:space="preserve">r</m:t>
        </m:r>
        <m:r>
          <m:t xml:space="preserve">=</m:t>
        </m:r>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r>
          <m:rPr>
            <m:lit/>
            <m:nor/>
          </m:rPr>
          <m:t xml:space="preserve">  </m:t>
        </m:r>
        <m:r>
          <m:t xml:space="preserve">1</m:t>
        </m:r>
      </m:oMath>
      <w:r>
        <w:rPr>
          <w:color w:val="000000"/>
        </w:rPr>
        <w:t xml:space="preserve">.  The logic of the approach described above is that for relatively small </w:t>
      </w:r>
      <w:r>
        <w:rPr>
          <w:i/>
          <w:iCs/>
          <w:color w:val="000000"/>
        </w:rPr>
        <w:t>x</w:t>
      </w:r>
      <w:r>
        <w:rPr>
          <w:color w:val="000000"/>
        </w:rPr>
        <w:t xml:space="preserve">, ln(1 + </w:t>
      </w:r>
      <w:r>
        <w:rPr>
          <w:i/>
          <w:iCs/>
          <w:color w:val="000000"/>
        </w:rPr>
        <w:t>x</w:t>
      </w:r>
      <w:r>
        <w:rPr>
          <w:color w:val="000000"/>
        </w:rPr>
        <w:t xml:space="preserve">) </w:t>
      </w:r>
      <w:r>
        <w:rPr>
          <w:rFonts w:eastAsia="Symbol" w:cs="Symbol" w:ascii="Symbol" w:hAnsi="Symbol"/>
          <w:color w:val="000000"/>
        </w:rPr>
        <w:sym w:font="Symbol" w:char="f040"/>
      </w:r>
      <w:r>
        <w:rPr>
          <w:color w:val="000000"/>
        </w:rPr>
        <w:t xml:space="preserve"> </w:t>
      </w:r>
      <w:r>
        <w:rPr>
          <w:i/>
          <w:iCs/>
          <w:color w:val="000000"/>
        </w:rPr>
        <w:t>x</w:t>
      </w:r>
      <w:r>
        <w:rPr>
          <w:color w:val="000000"/>
        </w:rPr>
        <w:t xml:space="preserve">.  Taking the natural log of </w:t>
      </w:r>
      <w:r>
        <w:rPr>
          <w:color w:val="000000"/>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000000"/>
        </w:rPr>
        <w:t xml:space="preserve"> is equivalent to taking the natural log of 1 + </w:t>
      </w:r>
      <w:r>
        <w:rPr>
          <w:i/>
          <w:iCs/>
          <w:color w:val="000000"/>
        </w:rPr>
        <w:t>r</w:t>
      </w:r>
      <w:r>
        <w:rPr>
          <w:color w:val="000000"/>
        </w:rPr>
        <w:t xml:space="preserve">, and this in turn is roughly equal to </w:t>
      </w:r>
      <w:r>
        <w:rPr>
          <w:i/>
          <w:iCs/>
          <w:color w:val="000000"/>
        </w:rPr>
        <w:t>r</w:t>
      </w:r>
      <w:r>
        <w:rPr>
          <w:color w:val="000000"/>
        </w:rPr>
        <w:t>.</w:t>
      </w:r>
    </w:p>
    <w:p>
      <w:pPr>
        <w:pStyle w:val="Normal"/>
        <w:rPr>
          <w:color w:val="000000"/>
        </w:rPr>
      </w:pPr>
      <w:r>
        <w:rPr>
          <w:color w:val="000000"/>
        </w:rPr>
      </w:r>
    </w:p>
    <w:p>
      <w:pPr>
        <w:pStyle w:val="Normal"/>
        <w:rPr/>
      </w:pPr>
      <w:r>
        <w:rPr>
          <w:color w:val="000000"/>
        </w:rPr>
        <w:t xml:space="preserve">The use of natural log returns has also some other additional advantages.  If one wants to calculate a log return over a longer time period, say from </w:t>
      </w:r>
      <w:r>
        <w:rPr>
          <w:i/>
          <w:iCs/>
          <w:color w:val="000000"/>
        </w:rPr>
        <w:t>t</w:t>
      </w:r>
      <w:r>
        <w:rPr>
          <w:color w:val="000000"/>
        </w:rPr>
        <w:t xml:space="preserve"> to </w:t>
      </w:r>
      <w:r>
        <w:rPr>
          <w:i/>
          <w:iCs/>
          <w:color w:val="000000"/>
        </w:rPr>
        <w:t>t+n</w:t>
      </w:r>
      <w:r>
        <w:rPr>
          <w:color w:val="000000"/>
        </w:rPr>
        <w:t xml:space="preserve">, corresponding to the ratio </w:t>
      </w:r>
      <w:r>
        <w:rPr>
          <w:color w:val="000000"/>
        </w:rPr>
      </w:r>
      <m:oMath xmlns:m="http://schemas.openxmlformats.org/officeDocument/2006/math">
        <m:f>
          <m:fPr>
            <m:type m:val="lin"/>
          </m:fPr>
          <m:num>
            <m:sSub>
              <m:e>
                <m:r>
                  <m:t xml:space="preserve">S</m:t>
                </m:r>
              </m:e>
              <m:sub>
                <m:r>
                  <m:t xml:space="preserve">t</m:t>
                </m:r>
                <m:r>
                  <m:t xml:space="preserve">+</m:t>
                </m:r>
                <m:r>
                  <m:t xml:space="preserve">n</m:t>
                </m:r>
              </m:sub>
            </m:sSub>
          </m:num>
          <m:den>
            <m:sSub>
              <m:e>
                <m:r>
                  <m:t xml:space="preserve">S</m:t>
                </m:r>
              </m:e>
              <m:sub>
                <m:r>
                  <m:t xml:space="preserve">t</m:t>
                </m:r>
              </m:sub>
            </m:sSub>
          </m:den>
        </m:f>
      </m:oMath>
      <w:r>
        <w:rPr>
          <w:color w:val="000000"/>
        </w:rPr>
        <w:t xml:space="preserve">, one can convert this into </w:t>
      </w:r>
      <w:r>
        <w:rPr>
          <w:color w:val="000000"/>
        </w:rPr>
      </w:r>
      <m:oMath xmlns:m="http://schemas.openxmlformats.org/officeDocument/2006/math">
        <m:r>
          <m:t xml:space="preserve">(</m:t>
        </m:r>
        <m:f>
          <m:fPr>
            <m:type m:val="lin"/>
          </m:fPr>
          <m:num>
            <m:sSub>
              <m:e>
                <m:r>
                  <m:t xml:space="preserve">S</m:t>
                </m:r>
              </m:e>
              <m:sub>
                <m:r>
                  <m:t xml:space="preserve">t</m:t>
                </m:r>
                <m:r>
                  <m:t xml:space="preserve">+</m:t>
                </m:r>
                <m:r>
                  <m:t xml:space="preserve">n</m:t>
                </m:r>
              </m:sub>
            </m:sSub>
          </m:num>
          <m:den>
            <m:sSub>
              <m:e>
                <m:r>
                  <m:t xml:space="preserve">S</m:t>
                </m:r>
              </m:e>
              <m:sub>
                <m:r>
                  <m:t xml:space="preserve">t</m:t>
                </m:r>
                <m:r>
                  <m:t xml:space="preserve">+</m:t>
                </m:r>
                <m:r>
                  <m:t xml:space="preserve">n</m:t>
                </m:r>
                <m:r>
                  <m:t xml:space="preserve">−</m:t>
                </m:r>
                <m:r>
                  <m:t xml:space="preserve">1</m:t>
                </m:r>
              </m:sub>
            </m:sSub>
          </m:den>
        </m:f>
        <m:r>
          <m:t xml:space="preserve">)</m:t>
        </m:r>
        <m:r>
          <m:t xml:space="preserve">×</m:t>
        </m:r>
        <m:r>
          <m:t xml:space="preserve">(</m:t>
        </m:r>
        <m:f>
          <m:fPr>
            <m:type m:val="lin"/>
          </m:fPr>
          <m:num>
            <m:sSub>
              <m:e>
                <m:r>
                  <m:t xml:space="preserve">S</m:t>
                </m:r>
              </m:e>
              <m:sub>
                <m:r>
                  <m:t xml:space="preserve">t</m:t>
                </m:r>
                <m:r>
                  <m:t xml:space="preserve">+</m:t>
                </m:r>
                <m:r>
                  <m:t xml:space="preserve">n</m:t>
                </m:r>
                <m:r>
                  <m:t xml:space="preserve">−</m:t>
                </m:r>
                <m:r>
                  <m:t xml:space="preserve">1</m:t>
                </m:r>
              </m:sub>
            </m:sSub>
          </m:num>
          <m:den>
            <m:sSub>
              <m:e>
                <m:r>
                  <m:t xml:space="preserve">S</m:t>
                </m:r>
              </m:e>
              <m:sub>
                <m:r>
                  <m:t xml:space="preserve">t</m:t>
                </m:r>
                <m:r>
                  <m:t xml:space="preserve">+</m:t>
                </m:r>
                <m:r>
                  <m:t xml:space="preserve">n</m:t>
                </m:r>
                <m:r>
                  <m:t xml:space="preserve">−</m:t>
                </m:r>
                <m:r>
                  <m:t xml:space="preserve">2</m:t>
                </m:r>
              </m:sub>
            </m:sSub>
          </m:den>
        </m:f>
        <m:r>
          <m:t xml:space="preserve">)</m:t>
        </m:r>
        <m:r>
          <m:t xml:space="preserve">×</m:t>
        </m:r>
        <m:r>
          <m:rPr>
            <m:lit/>
            <m:nor/>
          </m:rPr>
          <m:t xml:space="preserve">.</m:t>
        </m:r>
        <m:r>
          <m:rPr>
            <m:lit/>
            <m:nor/>
          </m:rPr>
          <m:t xml:space="preserve">.</m:t>
        </m:r>
        <m:r>
          <m:rPr>
            <m:lit/>
            <m:nor/>
          </m:rPr>
          <m:t xml:space="preserve">.</m:t>
        </m:r>
        <m:r>
          <m:t xml:space="preserve">×</m:t>
        </m:r>
        <m:r>
          <m:t xml:space="preserve">(</m:t>
        </m:r>
        <m:f>
          <m:fPr>
            <m:type m:val="lin"/>
          </m:fPr>
          <m:num>
            <m:sSub>
              <m:e>
                <m:r>
                  <m:t xml:space="preserve">S</m:t>
                </m:r>
              </m:e>
              <m:sub>
                <m:r>
                  <m:t xml:space="preserve">t</m:t>
                </m:r>
                <m:r>
                  <m:t xml:space="preserve">+</m:t>
                </m:r>
                <m:r>
                  <m:t xml:space="preserve">1</m:t>
                </m:r>
              </m:sub>
            </m:sSub>
          </m:num>
          <m:den>
            <m:sSub>
              <m:e>
                <m:r>
                  <m:t xml:space="preserve">S</m:t>
                </m:r>
              </m:e>
              <m:sub>
                <m:r>
                  <m:t xml:space="preserve">t</m:t>
                </m:r>
              </m:sub>
            </m:sSub>
          </m:den>
        </m:f>
        <m:r>
          <m:t xml:space="preserve">)</m:t>
        </m:r>
      </m:oMath>
      <w:r>
        <w:rPr>
          <w:color w:val="000000"/>
        </w:rPr>
        <w:t>. Given that the log of a product is equal to the sum of the logs, one can easily show that a log return over the longer time period can be calculated as the sum of log returns for the sub periods.</w:t>
      </w:r>
    </w:p>
    <w:p>
      <w:pPr>
        <w:pStyle w:val="Normal"/>
        <w:rPr>
          <w:color w:val="000000"/>
        </w:rPr>
      </w:pPr>
      <w:r>
        <w:rPr>
          <w:color w:val="000000"/>
        </w:rPr>
      </w:r>
    </w:p>
    <w:p>
      <w:pPr>
        <w:pStyle w:val="Normal"/>
        <w:rPr>
          <w:i/>
          <w:i/>
          <w:iCs/>
          <w:color w:val="000000"/>
        </w:rPr>
      </w:pPr>
      <w:r>
        <w:rPr>
          <w:i/>
          <w:iCs/>
          <w:color w:val="000000"/>
        </w:rPr>
        <w:t>Step 2. Calculate standard deviation of the logarithmic price returns.</w:t>
      </w:r>
    </w:p>
    <w:p>
      <w:pPr>
        <w:pStyle w:val="Normal"/>
        <w:rPr>
          <w:i/>
          <w:i/>
          <w:iCs/>
          <w:color w:val="000000"/>
        </w:rPr>
      </w:pPr>
      <w:r>
        <w:rPr>
          <w:i/>
          <w:iCs/>
          <w:color w:val="000000"/>
        </w:rPr>
      </w:r>
    </w:p>
    <w:p>
      <w:pPr>
        <w:pStyle w:val="Normal"/>
        <w:rPr>
          <w:i/>
          <w:i/>
          <w:iCs/>
          <w:color w:val="000000"/>
        </w:rPr>
      </w:pPr>
      <w:r>
        <w:rPr>
          <w:i/>
          <w:iCs/>
          <w:color w:val="000000"/>
        </w:rPr>
        <w:t>Step 3. Annualise the standard deviation by multiplying it by the correct factor.</w:t>
      </w:r>
    </w:p>
    <w:p>
      <w:pPr>
        <w:pStyle w:val="Normal"/>
        <w:rPr/>
      </w:pPr>
      <w:r>
        <w:rPr>
          <w:color w:val="000000"/>
        </w:rPr>
        <w:t xml:space="preserve">As a first approximation the annualisation factor depends on the price data frequency.  In the case that the data is monthly, the factor is </w:t>
      </w:r>
      <w:r>
        <w:rPr>
          <w:rFonts w:eastAsia="Symbol" w:cs="Symbol" w:ascii="Symbol" w:hAnsi="Symbol"/>
          <w:color w:val="000000"/>
        </w:rPr>
        <w:sym w:font="Symbol" w:char="f0d6"/>
      </w:r>
      <w:r>
        <w:rPr>
          <w:color w:val="000000"/>
        </w:rPr>
        <w:t xml:space="preserve">12; for weekly data it is </w:t>
      </w:r>
      <w:r>
        <w:rPr>
          <w:rFonts w:eastAsia="Symbol" w:cs="Symbol" w:ascii="Symbol" w:hAnsi="Symbol"/>
          <w:color w:val="000000"/>
        </w:rPr>
        <w:sym w:font="Symbol" w:char="f0d6"/>
      </w:r>
      <w:r>
        <w:rPr>
          <w:color w:val="000000"/>
        </w:rPr>
        <w:t xml:space="preserve">52.  For the daily data available for each calendar day one has to use </w:t>
      </w:r>
      <w:r>
        <w:rPr>
          <w:rFonts w:eastAsia="Symbol" w:cs="Symbol" w:ascii="Symbol" w:hAnsi="Symbol"/>
          <w:color w:val="000000"/>
        </w:rPr>
        <w:sym w:font="Symbol" w:char="f0d6"/>
      </w:r>
      <w:r>
        <w:rPr>
          <w:color w:val="000000"/>
        </w:rPr>
        <w:t xml:space="preserve">365.  If the information is available for trading days only, one should use the relevant number that may vary from jurisdiction to jurisdiction.  The standard usage is </w:t>
      </w:r>
      <w:r>
        <w:rPr>
          <w:rFonts w:eastAsia="Symbol" w:cs="Symbol" w:ascii="Symbol" w:hAnsi="Symbol"/>
          <w:color w:val="000000"/>
        </w:rPr>
        <w:sym w:font="Symbol" w:char="f0d6"/>
      </w:r>
      <w:r>
        <w:rPr>
          <w:color w:val="000000"/>
        </w:rPr>
        <w:t xml:space="preserve">250. </w:t>
      </w:r>
    </w:p>
    <w:p>
      <w:pPr>
        <w:pStyle w:val="Normal"/>
        <w:rPr>
          <w:color w:val="000000"/>
        </w:rPr>
      </w:pPr>
      <w:r>
        <w:rPr>
          <w:color w:val="000000"/>
        </w:rPr>
      </w:r>
    </w:p>
    <w:p>
      <w:pPr>
        <w:pStyle w:val="Normal"/>
        <w:rPr/>
      </w:pPr>
      <w:r>
        <w:rPr>
          <w:color w:val="000000"/>
        </w:rPr>
        <w:t xml:space="preserve">The logic of annulaisation comes from the assumptions regarding additivity of variance. It is implicitly assumed in this approach that each period return is drawn from a certain probability distribution and we are estimating the variance of this unknown distribution from the time series data for the market closing prices, ignoring the information about price behaviour within the period (intraday, intramonth, etc.).  If the price returns for each period are iid (independent, identically distributed) random variables, the variance of the sum of </w:t>
      </w:r>
      <w:r>
        <w:rPr>
          <w:i/>
          <w:iCs/>
          <w:color w:val="000000"/>
        </w:rPr>
        <w:t>n</w:t>
      </w:r>
      <w:r>
        <w:rPr>
          <w:color w:val="000000"/>
        </w:rPr>
        <w:t xml:space="preserve"> random variables, </w:t>
      </w:r>
      <w:r>
        <w:rPr>
          <w:color w:val="000000"/>
        </w:rPr>
      </w:r>
      <m:oMath xmlns:m="http://schemas.openxmlformats.org/officeDocument/2006/math">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oMath>
      <w:r>
        <w:rPr>
          <w:color w:val="000000"/>
        </w:rPr>
        <w:t>, is equal to the sum of the variances (if price returns are uncorrelated):</w:t>
      </w:r>
    </w:p>
    <w:p>
      <w:pPr>
        <w:pStyle w:val="Normal"/>
        <w:rPr>
          <w:color w:val="000000"/>
        </w:rPr>
      </w:pPr>
      <w:r>
        <w:rPr>
          <w:color w:val="000000"/>
        </w:rPr>
      </w:r>
    </w:p>
    <w:p>
      <w:pPr>
        <w:pStyle w:val="Equation"/>
        <w:rPr/>
      </w:pPr>
      <w:r>
        <w:rPr/>
        <w:tab/>
      </w:r>
      <w:r>
        <w:rPr/>
      </w:r>
      <m:oMath xmlns:m="http://schemas.openxmlformats.org/officeDocument/2006/math">
        <m:sSup>
          <m:e>
            <m:r>
              <m:t xml:space="preserve">σ</m:t>
            </m:r>
          </m:e>
          <m:sup>
            <m:sSub>
              <m:e>
                <m:r>
                  <m:t xml:space="preserve">2</m:t>
                </m:r>
              </m:e>
              <m:sub>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sub>
            </m:sSub>
          </m:sup>
        </m:sSup>
        <m:r>
          <m:t xml:space="preserve">=</m:t>
        </m:r>
        <m:sSup>
          <m:e>
            <m:r>
              <m:t xml:space="preserve">σ</m:t>
            </m:r>
          </m:e>
          <m:sup>
            <m:sSub>
              <m:e>
                <m:r>
                  <m:t xml:space="preserve">2</m:t>
                </m:r>
              </m:e>
              <m:sub>
                <m:sSub>
                  <m:e>
                    <m:r>
                      <m:t xml:space="preserve">x</m:t>
                    </m:r>
                  </m:e>
                  <m:sub>
                    <m:r>
                      <m:t xml:space="preserve">1</m:t>
                    </m:r>
                  </m:sub>
                </m:sSub>
              </m:sub>
            </m:sSub>
          </m:sup>
        </m:sSup>
        <m:r>
          <m:t xml:space="preserve">+</m:t>
        </m:r>
        <m:sSup>
          <m:e>
            <m:r>
              <m:t xml:space="preserve">σ</m:t>
            </m:r>
          </m:e>
          <m:sup>
            <m:sSub>
              <m:e>
                <m:r>
                  <m:t xml:space="preserve">2</m:t>
                </m:r>
              </m:e>
              <m:sub>
                <m:sSub>
                  <m:e>
                    <m:r>
                      <m:t xml:space="preserve">x</m:t>
                    </m:r>
                  </m:e>
                  <m:sub>
                    <m:r>
                      <m:t xml:space="preserve">2</m:t>
                    </m:r>
                  </m:sub>
                </m:sSub>
              </m:sub>
            </m:sSub>
          </m:sup>
        </m:sSup>
        <m:r>
          <m:t xml:space="preserve">+</m:t>
        </m:r>
        <m:r>
          <m:rPr>
            <m:lit/>
            <m:nor/>
          </m:rPr>
          <m:t xml:space="preserve">.</m:t>
        </m:r>
        <m:r>
          <m:rPr>
            <m:lit/>
            <m:nor/>
          </m:rPr>
          <m:t xml:space="preserve">.</m:t>
        </m:r>
        <m:r>
          <m:rPr>
            <m:lit/>
            <m:nor/>
          </m:rPr>
          <m:t xml:space="preserve">.</m:t>
        </m:r>
        <m:r>
          <m:t xml:space="preserve">+</m:t>
        </m:r>
        <m:sSup>
          <m:e>
            <m:r>
              <m:t xml:space="preserve">σ</m:t>
            </m:r>
          </m:e>
          <m:sup>
            <m:sSub>
              <m:e>
                <m:r>
                  <m:t xml:space="preserve">2</m:t>
                </m:r>
              </m:e>
              <m:sub>
                <m:sSub>
                  <m:e>
                    <m:r>
                      <m:t xml:space="preserve">x</m:t>
                    </m:r>
                  </m:e>
                  <m:sub>
                    <m:r>
                      <m:t xml:space="preserve">n</m:t>
                    </m:r>
                  </m:sub>
                </m:sSub>
              </m:sub>
            </m:sSub>
          </m:sup>
        </m:sSup>
      </m:oMath>
      <w:r>
        <w:rPr/>
        <w:tab/>
        <w:t>(3.1)</w:t>
      </w:r>
    </w:p>
    <w:p>
      <w:pPr>
        <w:pStyle w:val="Normal"/>
        <w:rPr>
          <w:color w:val="000000"/>
        </w:rPr>
      </w:pPr>
      <w:r>
        <w:rPr>
          <w:color w:val="000000"/>
        </w:rPr>
      </w:r>
    </w:p>
    <w:p>
      <w:pPr>
        <w:pStyle w:val="Normal"/>
        <w:rPr/>
      </w:pPr>
      <w:r>
        <w:rPr>
          <w:color w:val="000000"/>
        </w:rPr>
        <w:t xml:space="preserve">Given that all the variances are assumed to be equal, the variance of the sum is equal to the common variance of the underlying variables multiplied by </w:t>
      </w:r>
      <w:r>
        <w:rPr>
          <w:i/>
          <w:iCs/>
          <w:color w:val="000000"/>
        </w:rPr>
        <w:t>n</w:t>
      </w:r>
      <w:r>
        <w:rPr>
          <w:color w:val="000000"/>
        </w:rPr>
        <w:t xml:space="preserve">.  The standard deviation is equal to the common standard deviation multiplied by the square root of </w:t>
      </w:r>
      <w:r>
        <w:rPr>
          <w:i/>
          <w:iCs/>
          <w:color w:val="000000"/>
        </w:rPr>
        <w:t>n</w:t>
      </w:r>
      <w:r>
        <w:rPr>
          <w:color w:val="000000"/>
        </w:rPr>
        <w:t>.</w:t>
      </w:r>
    </w:p>
    <w:p>
      <w:pPr>
        <w:pStyle w:val="Normal"/>
        <w:rPr>
          <w:color w:val="000000"/>
        </w:rPr>
      </w:pPr>
      <w:r>
        <w:rPr>
          <w:color w:val="000000"/>
        </w:rPr>
      </w:r>
    </w:p>
    <w:p>
      <w:pPr>
        <w:pStyle w:val="Normal"/>
        <w:rPr>
          <w:color w:val="000000"/>
        </w:rPr>
      </w:pPr>
      <w:r>
        <w:rPr>
          <w:color w:val="000000"/>
        </w:rPr>
        <w:t>Before we address the annualisation problem in more depth we offer a few warnings to try to avoid common pitfalls.  Firstly, energy price series tend to be of low quality in many cases.  It is therefore necessary to screen the price history for outliers that may significantly distort the estimates of volatility.  Secondly, in many cases the price data is obtained from the organized futures exchanges by stitching the numbers representing closing prices for the first available contract.  One should keep in mind that in calculating price returns, one should discard the observation corresponding to the contract rollover date (the day following the expiration of one contract, when we switch to the price data representing the new prompt contract).  The logic of this approach is that one can, hopefully, mitigate the seasonality problem in the price data.  Assuming that the prices corresponding to the same contract month are characterized by the same multiplicative seasonality factor, we get:</w:t>
      </w:r>
    </w:p>
    <w:p>
      <w:pPr>
        <w:pStyle w:val="Normal"/>
        <w:rPr>
          <w:color w:val="000000"/>
        </w:rPr>
      </w:pPr>
      <w:r>
        <w:rPr>
          <w:color w:val="000000"/>
        </w:rPr>
      </w:r>
    </w:p>
    <w:p>
      <w:pPr>
        <w:pStyle w:val="Equation"/>
        <w:rPr/>
      </w:pPr>
      <w:r>
        <w:rPr/>
        <w:tab/>
      </w:r>
      <w:r>
        <w:rPr/>
      </w:r>
      <m:oMath xmlns:m="http://schemas.openxmlformats.org/officeDocument/2006/math">
        <m:f>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f>
          <m:num>
            <m:sSub>
              <m:e>
                <m:r>
                  <m:rPr>
                    <m:lit/>
                    <m:nor/>
                  </m:rPr>
                  <m:t xml:space="preserve">sS</m:t>
                </m:r>
              </m:e>
              <m:sub>
                <m:r>
                  <m:t xml:space="preserve">a</m:t>
                </m:r>
                <m:r>
                  <m:t xml:space="preserve">,</m:t>
                </m:r>
                <m:r>
                  <m:t xml:space="preserve">t</m:t>
                </m:r>
              </m:sub>
            </m:sSub>
          </m:num>
          <m:den>
            <m:sSub>
              <m:e>
                <m:r>
                  <m:rPr>
                    <m:lit/>
                    <m:nor/>
                  </m:rPr>
                  <m:t xml:space="preserve">sS</m:t>
                </m:r>
              </m:e>
              <m:sub>
                <m:r>
                  <m:t xml:space="preserve">a</m:t>
                </m:r>
                <m:r>
                  <m:t xml:space="preserve">,</m:t>
                </m:r>
                <m:r>
                  <m:t xml:space="preserve">t</m:t>
                </m:r>
                <m:r>
                  <m:t xml:space="preserve">−</m:t>
                </m:r>
                <m:r>
                  <m:t xml:space="preserve">1</m:t>
                </m:r>
              </m:sub>
            </m:sSub>
          </m:den>
        </m:f>
        <m:r>
          <m:t xml:space="preserve">=</m:t>
        </m:r>
        <m:f>
          <m:num>
            <m:sSub>
              <m:e>
                <m:r>
                  <m:t xml:space="preserve">S</m:t>
                </m:r>
              </m:e>
              <m:sub>
                <m:r>
                  <m:t xml:space="preserve">a</m:t>
                </m:r>
                <m:r>
                  <m:t xml:space="preserve">,</m:t>
                </m:r>
                <m:r>
                  <m:t xml:space="preserve">t</m:t>
                </m:r>
              </m:sub>
            </m:sSub>
          </m:num>
          <m:den>
            <m:sSub>
              <m:e>
                <m:r>
                  <m:t xml:space="preserve">S</m:t>
                </m:r>
              </m:e>
              <m:sub>
                <m:r>
                  <m:t xml:space="preserve">a</m:t>
                </m:r>
                <m:r>
                  <m:t xml:space="preserve">,</m:t>
                </m:r>
                <m:r>
                  <m:t xml:space="preserve">t</m:t>
                </m:r>
                <m:r>
                  <m:t xml:space="preserve">−</m:t>
                </m:r>
                <m:r>
                  <m:t xml:space="preserve">1</m:t>
                </m:r>
              </m:sub>
            </m:sSub>
          </m:den>
        </m:f>
      </m:oMath>
    </w:p>
    <w:p>
      <w:pPr>
        <w:pStyle w:val="Normal"/>
        <w:rPr>
          <w:color w:val="000000"/>
        </w:rPr>
      </w:pPr>
      <w:r>
        <w:rPr>
          <w:color w:val="000000"/>
        </w:rPr>
      </w:r>
    </w:p>
    <w:p>
      <w:pPr>
        <w:pStyle w:val="Normal"/>
        <w:rPr/>
      </w:pPr>
      <w:r>
        <w:rPr>
          <w:color w:val="000000"/>
        </w:rPr>
        <w:t xml:space="preserve">where </w:t>
      </w:r>
      <w:r>
        <w:rPr>
          <w:i/>
          <w:iCs/>
          <w:color w:val="000000"/>
        </w:rPr>
        <w:t>s</w:t>
      </w:r>
      <w:r>
        <w:rPr>
          <w:color w:val="000000"/>
        </w:rPr>
        <w:t xml:space="preserve"> represents the multiplicative seasonality coefficient, common to both prices, </w:t>
      </w:r>
      <w:r>
        <w:rPr>
          <w:color w:val="000000"/>
        </w:rPr>
      </w:r>
      <m:oMath xmlns:m="http://schemas.openxmlformats.org/officeDocument/2006/math">
        <m:sSub>
          <m:e>
            <m:r>
              <m:t xml:space="preserve">S</m:t>
            </m:r>
          </m:e>
          <m:sub>
            <m:r>
              <m:t xml:space="preserve">a</m:t>
            </m:r>
            <m:r>
              <m:t xml:space="preserve">,</m:t>
            </m:r>
            <m:r>
              <m:t xml:space="preserve">t</m:t>
            </m:r>
          </m:sub>
        </m:sSub>
      </m:oMath>
      <w:r>
        <w:rPr>
          <w:color w:val="000000"/>
        </w:rPr>
        <w:t>(</w:t>
      </w:r>
      <w:r>
        <w:rPr>
          <w:color w:val="000000"/>
        </w:rPr>
      </w:r>
      <m:oMath xmlns:m="http://schemas.openxmlformats.org/officeDocument/2006/math">
        <m:sSub>
          <m:e>
            <m:r>
              <m:t xml:space="preserve">S</m:t>
            </m:r>
          </m:e>
          <m:sub>
            <m:r>
              <m:t xml:space="preserve">a</m:t>
            </m:r>
            <m:r>
              <m:t xml:space="preserve">,</m:t>
            </m:r>
            <m:r>
              <m:t xml:space="preserve">t</m:t>
            </m:r>
            <m:r>
              <m:t xml:space="preserve">−</m:t>
            </m:r>
            <m:r>
              <m:t xml:space="preserve">1</m:t>
            </m:r>
          </m:sub>
        </m:sSub>
      </m:oMath>
      <w:r>
        <w:rPr>
          <w:color w:val="000000"/>
        </w:rPr>
        <w:t xml:space="preserve">) corresponds to the deseasonalised price for period </w:t>
      </w:r>
      <w:r>
        <w:rPr>
          <w:i/>
          <w:iCs/>
          <w:color w:val="000000"/>
        </w:rPr>
        <w:t>t</w:t>
      </w:r>
      <w:r>
        <w:rPr>
          <w:color w:val="000000"/>
        </w:rPr>
        <w:t xml:space="preserve"> (</w:t>
      </w:r>
      <w:r>
        <w:rPr>
          <w:i/>
          <w:iCs/>
          <w:color w:val="000000"/>
        </w:rPr>
        <w:t xml:space="preserve">t </w:t>
      </w:r>
      <w:r>
        <w:rPr>
          <w:color w:val="000000"/>
        </w:rPr>
        <w:t>- 1).  When we form the price ratio based on different contracts, there is no guarantee that the seasonality coefficients will cancel.  Finally, we need to keep in mind that many energy commodities trade for 6 days during a week (for example, an on-peak period in California is defined as Monday through Saturday).</w:t>
      </w:r>
    </w:p>
    <w:p>
      <w:pPr>
        <w:pStyle w:val="Normal"/>
        <w:rPr>
          <w:color w:val="000000"/>
        </w:rPr>
      </w:pPr>
      <w:r>
        <w:rPr>
          <w:color w:val="000000"/>
        </w:rPr>
      </w:r>
    </w:p>
    <w:p>
      <w:pPr>
        <w:pStyle w:val="Heading3"/>
        <w:ind w:hanging="0" w:start="0"/>
        <w:rPr>
          <w:color w:val="000000"/>
        </w:rPr>
      </w:pPr>
      <w:r>
        <w:rPr>
          <w:color w:val="000000"/>
        </w:rPr>
        <w:t>3.3.2</w:t>
        <w:tab/>
        <w:t>Estimation of Volatility for a Mean Reverting Process</w:t>
      </w:r>
    </w:p>
    <w:p>
      <w:pPr>
        <w:pStyle w:val="Normal"/>
        <w:rPr>
          <w:color w:val="000000"/>
        </w:rPr>
      </w:pPr>
      <w:r>
        <w:rPr>
          <w:color w:val="000000"/>
        </w:rPr>
      </w:r>
    </w:p>
    <w:p>
      <w:pPr>
        <w:pStyle w:val="Normal"/>
        <w:rPr/>
      </w:pPr>
      <w:r>
        <w:rPr>
          <w:color w:val="000000"/>
        </w:rPr>
        <w:t xml:space="preserve">For illustration in this section we assume a simple Ornstein-Uhlenbeck process for a particular price (spot or forward) </w:t>
      </w:r>
      <w:r>
        <w:rPr>
          <w:i/>
          <w:iCs/>
          <w:color w:val="000000"/>
        </w:rPr>
        <w:t>S</w:t>
      </w:r>
      <w:r>
        <w:rPr>
          <w:color w:val="000000"/>
        </w:rPr>
        <w:t xml:space="preserve"> of the form</w:t>
      </w:r>
    </w:p>
    <w:p>
      <w:pPr>
        <w:pStyle w:val="Normal"/>
        <w:rPr>
          <w:color w:val="000000"/>
        </w:rPr>
      </w:pPr>
      <w:r>
        <w:rPr>
          <w:color w:val="000000"/>
        </w:rPr>
      </w:r>
    </w:p>
    <w:p>
      <w:pPr>
        <w:pStyle w:val="Equation"/>
        <w:rPr/>
      </w:pPr>
      <w:r>
        <w:rPr/>
        <w:tab/>
      </w:r>
      <w:r>
        <w:rPr/>
      </w:r>
      <m:oMath xmlns:m="http://schemas.openxmlformats.org/officeDocument/2006/math">
        <m:r>
          <m:rPr>
            <m:lit/>
            <m:nor/>
          </m:rPr>
          <m:t xml:space="preserve">dS</m:t>
        </m:r>
        <m:r>
          <m:t xml:space="preserve">=</m:t>
        </m:r>
        <m:r>
          <m:t xml:space="preserve">α</m:t>
        </m:r>
        <m:r>
          <m:t xml:space="preserve">(</m:t>
        </m:r>
        <m:acc>
          <m:accPr>
            <m:chr m:val="¯"/>
          </m:accPr>
          <m:e>
            <m:r>
              <m:t xml:space="preserve">S</m:t>
            </m:r>
          </m:e>
        </m:acc>
        <m:r>
          <m:t xml:space="preserve">−</m:t>
        </m:r>
        <m:r>
          <m:t xml:space="preserve">S</m:t>
        </m:r>
        <m:r>
          <m:t xml:space="preserve">)</m:t>
        </m:r>
        <m:r>
          <m:rPr>
            <m:lit/>
            <m:nor/>
          </m:rPr>
          <m:t xml:space="preserve">dt</m:t>
        </m:r>
        <m:r>
          <m:t xml:space="preserve">+</m:t>
        </m:r>
        <m:r>
          <m:t xml:space="preserve">σ</m:t>
        </m:r>
        <m:r>
          <m:rPr>
            <m:lit/>
            <m:nor/>
          </m:rPr>
          <m:t xml:space="preserve">dz</m:t>
        </m:r>
      </m:oMath>
      <w:r>
        <w:rPr/>
        <w:tab/>
        <w:t>(3.2)</w:t>
      </w:r>
    </w:p>
    <w:p>
      <w:pPr>
        <w:pStyle w:val="Normal"/>
        <w:rPr>
          <w:color w:val="000000"/>
        </w:rPr>
      </w:pPr>
      <w:r>
        <w:rPr>
          <w:color w:val="000000"/>
        </w:rPr>
      </w:r>
    </w:p>
    <w:p>
      <w:pPr>
        <w:pStyle w:val="Normal"/>
        <w:rPr/>
      </w:pPr>
      <w:r>
        <w:rPr>
          <w:color w:val="000000"/>
        </w:rPr>
        <w:t xml:space="preserve">If the starting price level is </w:t>
      </w:r>
      <w:r>
        <w:rPr>
          <w:i/>
          <w:iCs/>
          <w:color w:val="000000"/>
        </w:rPr>
        <w:t>S</w:t>
      </w:r>
      <w:r>
        <w:rPr>
          <w:color w:val="000000"/>
        </w:rPr>
        <w:t xml:space="preserve">(0), the expected price at time </w:t>
      </w:r>
      <w:r>
        <w:rPr>
          <w:i/>
          <w:iCs/>
          <w:color w:val="000000"/>
        </w:rPr>
        <w:t>t</w:t>
      </w:r>
      <w:r>
        <w:rPr>
          <w:color w:val="000000"/>
        </w:rPr>
        <w:t xml:space="preserve"> will be given by </w:t>
      </w:r>
      <w:r>
        <w:rPr>
          <w:color w:val="000000"/>
        </w:rPr>
      </w:r>
      <m:oMath xmlns:m="http://schemas.openxmlformats.org/officeDocument/2006/math">
        <m:acc>
          <m:accPr>
            <m:chr m:val="¯"/>
          </m:accPr>
          <m:e>
            <m:r>
              <m:t xml:space="preserve">S</m:t>
            </m:r>
          </m:e>
        </m:acc>
        <m:r>
          <m:t xml:space="preserve">+</m:t>
        </m:r>
        <m:r>
          <m:t xml:space="preserve">(</m:t>
        </m:r>
        <m:r>
          <m:t xml:space="preserve">S</m:t>
        </m:r>
        <m:r>
          <m:t xml:space="preserve">(</m:t>
        </m:r>
        <m:r>
          <m:t xml:space="preserve">0</m:t>
        </m:r>
        <m:r>
          <m:t xml:space="preserve">)</m:t>
        </m:r>
        <m:r>
          <m:t xml:space="preserve">−</m:t>
        </m:r>
        <m:acc>
          <m:accPr>
            <m:chr m:val="¯"/>
          </m:accPr>
          <m:e>
            <m:r>
              <m:t xml:space="preserve">S</m:t>
            </m:r>
          </m:e>
        </m:acc>
        <m:r>
          <m:t xml:space="preserve">)</m:t>
        </m:r>
        <m:r>
          <m:rPr>
            <m:lit/>
            <m:nor/>
          </m:rPr>
          <m:t xml:space="preserve">exp</m:t>
        </m:r>
        <m:r>
          <m:t xml:space="preserve">(</m:t>
        </m:r>
        <m:r>
          <m:t xml:space="preserve">−</m:t>
        </m:r>
        <m:r>
          <m:t xml:space="preserve">αt</m:t>
        </m:r>
        <m:r>
          <m:t xml:space="preserve">)</m:t>
        </m:r>
      </m:oMath>
      <w:r>
        <w:rPr>
          <w:color w:val="000000"/>
        </w:rPr>
        <w:t xml:space="preserve">.  As the term </w:t>
      </w:r>
      <w:r>
        <w:rPr>
          <w:color w:val="000000"/>
        </w:rPr>
      </w:r>
      <m:oMath xmlns:m="http://schemas.openxmlformats.org/officeDocument/2006/math">
        <m:r>
          <m:rPr>
            <m:lit/>
            <m:nor/>
          </m:rPr>
          <m:t xml:space="preserve">exp</m:t>
        </m:r>
        <m:r>
          <m:t xml:space="preserve">(</m:t>
        </m:r>
        <m:r>
          <m:t xml:space="preserve">−</m:t>
        </m:r>
        <m:r>
          <m:t xml:space="preserve">αt</m:t>
        </m:r>
        <m:r>
          <m:t xml:space="preserve">)</m:t>
        </m:r>
      </m:oMath>
      <w:r>
        <w:rPr>
          <w:color w:val="000000"/>
        </w:rPr>
        <w:t xml:space="preserve">goes to 0, as </w:t>
      </w:r>
      <w:r>
        <w:rPr>
          <w:i/>
          <w:iCs/>
          <w:color w:val="000000"/>
        </w:rPr>
        <w:t>t</w:t>
      </w:r>
      <w:r>
        <w:rPr>
          <w:color w:val="000000"/>
        </w:rPr>
        <w:t xml:space="preserve"> becomes large, the long-term expectation of price is equal to </w:t>
      </w:r>
      <w:r>
        <w:rPr>
          <w:color w:val="000000"/>
        </w:rPr>
      </w:r>
      <m:oMath xmlns:m="http://schemas.openxmlformats.org/officeDocument/2006/math">
        <m:acc>
          <m:accPr>
            <m:chr m:val="¯"/>
          </m:accPr>
          <m:e>
            <m:r>
              <m:t xml:space="preserve">S</m:t>
            </m:r>
          </m:e>
        </m:acc>
      </m:oMath>
      <w:r>
        <w:rPr>
          <w:color w:val="000000"/>
        </w:rPr>
        <w:t>.</w:t>
      </w:r>
    </w:p>
    <w:p>
      <w:pPr>
        <w:pStyle w:val="Normal"/>
        <w:rPr>
          <w:i/>
          <w:i/>
          <w:iCs/>
          <w:color w:val="000000"/>
        </w:rPr>
      </w:pPr>
      <w:r>
        <w:rPr>
          <w:i/>
          <w:iCs/>
          <w:color w:val="000000"/>
        </w:rPr>
      </w:r>
    </w:p>
    <w:p>
      <w:pPr>
        <w:pStyle w:val="Normal"/>
        <w:rPr/>
      </w:pPr>
      <w:r>
        <w:rPr>
          <w:color w:val="000000"/>
        </w:rPr>
        <w:t xml:space="preserve">One should observe that the second term in the equation (3.2) is similar to the diffusion part of GBM, but that the interpretation of volatility changes.  The change in price, </w:t>
      </w:r>
      <w:r>
        <w:rPr>
          <w:i/>
          <w:iCs/>
          <w:color w:val="000000"/>
        </w:rPr>
        <w:t>dS</w:t>
      </w:r>
      <w:r>
        <w:rPr>
          <w:color w:val="000000"/>
        </w:rPr>
        <w:t xml:space="preserve">, is measured in dollars per physical unit, </w:t>
      </w:r>
      <w:r>
        <w:rPr>
          <w:i/>
          <w:iCs/>
          <w:color w:val="000000"/>
        </w:rPr>
        <w:t>dz</w:t>
      </w:r>
      <w:r>
        <w:rPr>
          <w:color w:val="000000"/>
        </w:rPr>
        <w:t xml:space="preserve">, is unitless, and therefore </w:t>
      </w:r>
      <w:r>
        <w:rPr>
          <w:rFonts w:eastAsia="Symbol" w:cs="Symbol" w:ascii="Symbol" w:hAnsi="Symbol"/>
          <w:color w:val="000000"/>
        </w:rPr>
        <w:sym w:font="Symbol" w:char="f073"/>
      </w:r>
      <w:r>
        <w:rPr>
          <w:color w:val="000000"/>
        </w:rPr>
        <w:t xml:space="preserve"> in (3.2) must be measured in dollars as well, unlike volatility used in the Black-Scholes-Merton option model.  The important lesson here is that we define and estimate volatility in the context of the stochastic process assumption and when this changes, the interpretation of volatility changes as well.</w:t>
      </w:r>
    </w:p>
    <w:p>
      <w:pPr>
        <w:pStyle w:val="Normal"/>
        <w:rPr>
          <w:color w:val="000000"/>
        </w:rPr>
      </w:pPr>
      <w:r>
        <w:rPr>
          <w:color w:val="000000"/>
        </w:rPr>
      </w:r>
    </w:p>
    <w:p>
      <w:pPr>
        <w:pStyle w:val="Normal"/>
        <w:rPr>
          <w:color w:val="000000"/>
        </w:rPr>
      </w:pPr>
      <w:r>
        <w:rPr>
          <w:color w:val="000000"/>
        </w:rPr>
        <w:t>Volatility can be equally easily estimated from the historical data, if a mean reversion process is assumed.  A spreadsheet-friendly technology that jointly estimates the mean reversion coefficient (c.f. section 2.9) and the volatility parameter, is based on discretisation of the continuous stochastic process given by equation (3.2) into the following equation that represents an autoregressive process of order one:</w:t>
      </w:r>
    </w:p>
    <w:p>
      <w:pPr>
        <w:pStyle w:val="Normal"/>
        <w:rPr>
          <w:color w:val="000000"/>
        </w:rPr>
      </w:pPr>
      <w:r>
        <w:rPr>
          <w:color w:val="000000"/>
        </w:rPr>
      </w:r>
    </w:p>
    <w:p>
      <w:pPr>
        <w:pStyle w:val="Equation"/>
        <w:rPr/>
      </w:pPr>
      <w:r>
        <w:rPr/>
        <w:tab/>
      </w:r>
      <w:r>
        <w:rPr/>
      </w:r>
      <m:oMath xmlns:m="http://schemas.openxmlformats.org/officeDocument/2006/math">
        <m:sSub>
          <m:e>
            <m:r>
              <m:t xml:space="preserve">ΔS</m:t>
            </m:r>
          </m:e>
          <m:sub>
            <m:r>
              <m:t xml:space="preserve">t</m:t>
            </m:r>
          </m:sub>
        </m:sSub>
        <m:r>
          <m:t xml:space="preserve">=</m:t>
        </m:r>
        <m:sSub>
          <m:e>
            <m:r>
              <m:t xml:space="preserve">α</m:t>
            </m:r>
          </m:e>
          <m:sub>
            <m:r>
              <m:t xml:space="preserve">0</m:t>
            </m:r>
          </m:sub>
        </m:sSub>
        <m:r>
          <m:t xml:space="preserve">+</m:t>
        </m:r>
        <m:sSub>
          <m:e>
            <m:r>
              <m:t xml:space="preserve">α</m:t>
            </m:r>
          </m:e>
          <m:sub>
            <m:r>
              <m:t xml:space="preserve">1</m:t>
            </m:r>
          </m:sub>
        </m:sSub>
        <m:sSub>
          <m:e>
            <m:r>
              <m:t xml:space="preserve">S</m:t>
            </m:r>
          </m:e>
          <m:sub>
            <m:r>
              <m:t xml:space="preserve">t</m:t>
            </m:r>
          </m:sub>
        </m:sSub>
        <m:r>
          <m:t xml:space="preserve">+</m:t>
        </m:r>
        <m:sSub>
          <m:e>
            <m:r>
              <m:t xml:space="preserve">ε</m:t>
            </m:r>
          </m:e>
          <m:sub>
            <m:r>
              <m:t xml:space="preserve">t</m:t>
            </m:r>
          </m:sub>
        </m:sSub>
      </m:oMath>
      <w:r>
        <w:rPr/>
        <w:tab/>
        <w:t>(3.3)</w:t>
      </w:r>
    </w:p>
    <w:p>
      <w:pPr>
        <w:pStyle w:val="Normal"/>
        <w:rPr>
          <w:color w:val="000000"/>
        </w:rPr>
      </w:pPr>
      <w:r>
        <w:rPr>
          <w:color w:val="000000"/>
        </w:rPr>
      </w:r>
    </w:p>
    <w:p>
      <w:pPr>
        <w:pStyle w:val="Normal"/>
        <w:rPr/>
      </w:pPr>
      <w:r>
        <w:rPr>
          <w:color w:val="000000"/>
        </w:rPr>
        <w:t xml:space="preserve">This follows from the observation that the equation (3.2) is the limiting case of the following process (as </w:t>
      </w:r>
      <w:r>
        <w:rPr>
          <w:i/>
          <w:iCs/>
          <w:color w:val="000000"/>
        </w:rPr>
        <w:t>dt</w:t>
      </w:r>
      <w:r>
        <w:rPr>
          <w:color w:val="000000"/>
        </w:rPr>
        <w:t xml:space="preserve"> </w:t>
      </w:r>
      <w:r>
        <w:rPr>
          <w:rFonts w:eastAsia="Symbol" w:cs="Symbol" w:ascii="Symbol" w:hAnsi="Symbol"/>
          <w:color w:val="000000"/>
        </w:rPr>
        <w:sym w:font="Symbol" w:char="f0ae"/>
      </w:r>
      <w:r>
        <w:rPr>
          <w:color w:val="000000"/>
        </w:rPr>
        <w:t>0):</w:t>
      </w:r>
    </w:p>
    <w:p>
      <w:pPr>
        <w:pStyle w:val="Normal"/>
        <w:rPr>
          <w:color w:val="000000"/>
        </w:rPr>
      </w:pPr>
      <w:r>
        <w:rPr>
          <w:color w:val="000000"/>
        </w:rPr>
      </w:r>
    </w:p>
    <w:p>
      <w:pPr>
        <w:pStyle w:val="Equation"/>
        <w:rPr/>
      </w:pPr>
      <w:r>
        <w:rPr/>
        <w:tab/>
      </w:r>
      <w:r>
        <w:rPr/>
      </w:r>
      <m:oMath xmlns:m="http://schemas.openxmlformats.org/officeDocument/2006/math">
        <m:sSub>
          <m:e>
            <m:r>
              <m:t xml:space="preserve">S</m:t>
            </m:r>
          </m:e>
          <m:sub>
            <m:r>
              <m:t xml:space="preserve">t</m:t>
            </m:r>
            <m:r>
              <m:t xml:space="preserve">+</m:t>
            </m:r>
            <m:r>
              <m:t xml:space="preserve">1</m:t>
            </m:r>
          </m:sub>
        </m:sSub>
        <m:r>
          <m:t xml:space="preserve">−</m:t>
        </m:r>
        <m:sSub>
          <m:e>
            <m:r>
              <m:t xml:space="preserve">S</m:t>
            </m:r>
          </m:e>
          <m:sub>
            <m:r>
              <m:t xml:space="preserve">t</m:t>
            </m:r>
          </m:sub>
        </m:sSub>
        <m:r>
          <m:t xml:space="preserve">=</m:t>
        </m:r>
        <m:acc>
          <m:accPr>
            <m:chr m:val="¯"/>
          </m:accPr>
          <m:e>
            <m:r>
              <m:t xml:space="preserve">S</m:t>
            </m:r>
          </m:e>
        </m:acc>
        <m:r>
          <m:t xml:space="preserve">(</m:t>
        </m:r>
        <m:r>
          <m:t xml:space="preserve">1</m:t>
        </m:r>
        <m:r>
          <m:t xml:space="preserve">−</m:t>
        </m:r>
        <m:sSup>
          <m:e>
            <m:r>
              <m:t xml:space="preserve">e</m:t>
            </m:r>
          </m:e>
          <m:sup>
            <m:r>
              <m:t xml:space="preserve">−</m:t>
            </m:r>
            <m:r>
              <m:t xml:space="preserve">α</m:t>
            </m:r>
          </m:sup>
        </m:sSup>
        <m:r>
          <m:t xml:space="preserve">)</m:t>
        </m:r>
        <m:r>
          <m:t xml:space="preserve">+</m:t>
        </m:r>
        <m:r>
          <m:t xml:space="preserve">(</m:t>
        </m:r>
        <m:sSup>
          <m:e>
            <m:r>
              <m:t xml:space="preserve">e</m:t>
            </m:r>
          </m:e>
          <m:sup>
            <m:r>
              <m:t xml:space="preserve">−</m:t>
            </m:r>
            <m:r>
              <m:t xml:space="preserve">α</m:t>
            </m:r>
          </m:sup>
        </m:sSup>
        <m:r>
          <m:t xml:space="preserve">−</m:t>
        </m:r>
        <m:r>
          <m:t xml:space="preserve">1</m:t>
        </m:r>
        <m:r>
          <m:t xml:space="preserve">)</m:t>
        </m:r>
        <m:sSub>
          <m:e>
            <m:r>
              <m:t xml:space="preserve">S</m:t>
            </m:r>
          </m:e>
          <m:sub>
            <m:r>
              <m:t xml:space="preserve">t</m:t>
            </m:r>
          </m:sub>
        </m:sSub>
        <m:r>
          <m:t xml:space="preserve">+</m:t>
        </m:r>
        <m:sSub>
          <m:e>
            <m:r>
              <m:t xml:space="preserve">ν</m:t>
            </m:r>
          </m:e>
          <m:sub>
            <m:r>
              <m:t xml:space="preserve">t</m:t>
            </m:r>
          </m:sub>
        </m:sSub>
      </m:oMath>
      <w:r>
        <w:rPr/>
        <w:tab/>
        <w:t>(3.4)</w:t>
      </w:r>
    </w:p>
    <w:p>
      <w:pPr>
        <w:pStyle w:val="Normal"/>
        <w:rPr>
          <w:color w:val="000000"/>
        </w:rPr>
      </w:pPr>
      <w:r>
        <w:rPr>
          <w:color w:val="000000"/>
        </w:rPr>
      </w:r>
    </w:p>
    <w:p>
      <w:pPr>
        <w:pStyle w:val="Normal"/>
        <w:rPr>
          <w:color w:val="000000"/>
        </w:rPr>
      </w:pPr>
      <w:r>
        <w:rPr>
          <w:color w:val="000000"/>
        </w:rPr>
        <w:t>The error term in (3.4) is normally distributed with variance given by:</w:t>
      </w:r>
    </w:p>
    <w:p>
      <w:pPr>
        <w:pStyle w:val="Normal"/>
        <w:rPr>
          <w:color w:val="000000"/>
        </w:rPr>
      </w:pPr>
      <w:r>
        <w:rPr>
          <w:color w:val="000000"/>
        </w:rPr>
      </w:r>
    </w:p>
    <w:p>
      <w:pPr>
        <w:pStyle w:val="Equation"/>
        <w:rPr/>
      </w:pPr>
      <w:r>
        <w:rPr/>
        <w:tab/>
      </w:r>
      <w:r>
        <w:rPr/>
      </w:r>
      <m:oMath xmlns:m="http://schemas.openxmlformats.org/officeDocument/2006/math">
        <m:sSubSup>
          <m:e>
            <m:r>
              <m:t xml:space="preserve">σ</m:t>
            </m:r>
          </m:e>
          <m:sub>
            <m:r>
              <m:t xml:space="preserve">ν</m:t>
            </m:r>
          </m:sub>
          <m:sup>
            <m:r>
              <m:t xml:space="preserve">2</m:t>
            </m:r>
          </m:sup>
        </m:sSubSup>
        <m:r>
          <m:t xml:space="preserve">=</m:t>
        </m:r>
        <m:f>
          <m:num>
            <m:sSup>
              <m:e>
                <m:r>
                  <m:t xml:space="preserve">σ</m:t>
                </m:r>
              </m:e>
              <m:sup>
                <m:r>
                  <m:t xml:space="preserve">2</m:t>
                </m:r>
              </m:sup>
            </m:sSup>
          </m:num>
          <m:den>
            <m:r>
              <m:t xml:space="preserve">2</m:t>
            </m:r>
            <m:r>
              <m:t xml:space="preserve">α</m:t>
            </m:r>
          </m:den>
        </m:f>
        <m:r>
          <m:t xml:space="preserve">(</m:t>
        </m:r>
        <m:r>
          <m:t xml:space="preserve">1</m:t>
        </m:r>
        <m:r>
          <m:t xml:space="preserve">−</m:t>
        </m:r>
        <m:sSup>
          <m:e>
            <m:r>
              <m:t xml:space="preserve">e</m:t>
            </m:r>
          </m:e>
          <m:sup>
            <m:r>
              <m:t xml:space="preserve">−</m:t>
            </m:r>
            <m:r>
              <m:t xml:space="preserve">2</m:t>
            </m:r>
            <m:r>
              <m:t xml:space="preserve">α</m:t>
            </m:r>
          </m:sup>
        </m:sSup>
        <m:r>
          <m:t xml:space="preserve">)</m:t>
        </m:r>
      </m:oMath>
      <w:r>
        <w:rPr/>
        <w:tab/>
        <w:t>(3.5)</w:t>
      </w:r>
    </w:p>
    <w:p>
      <w:pPr>
        <w:pStyle w:val="Normal"/>
        <w:rPr>
          <w:color w:val="000000"/>
        </w:rPr>
      </w:pPr>
      <w:r>
        <w:rPr>
          <w:color w:val="000000"/>
        </w:rPr>
      </w:r>
    </w:p>
    <w:p>
      <w:pPr>
        <w:pStyle w:val="Normal"/>
        <w:rPr>
          <w:color w:val="000000"/>
        </w:rPr>
      </w:pPr>
      <w:r>
        <w:rPr>
          <w:color w:val="000000"/>
        </w:rPr>
        <w:t>The parameters of the original equation (3.2) can be recovered from the estimated coefficients of the discrete version:</w:t>
      </w:r>
    </w:p>
    <w:p>
      <w:pPr>
        <w:pStyle w:val="Normal"/>
        <w:rPr>
          <w:color w:val="000000"/>
        </w:rPr>
      </w:pPr>
      <w:r>
        <w:rPr>
          <w:color w:val="000000"/>
        </w:rPr>
      </w:r>
    </w:p>
    <w:p>
      <w:pPr>
        <w:pStyle w:val="Equation"/>
        <w:rPr/>
      </w:pPr>
      <w:r>
        <w:rPr/>
        <w:tab/>
      </w:r>
      <w:r>
        <w:rPr/>
      </w:r>
      <m:oMath xmlns:m="http://schemas.openxmlformats.org/officeDocument/2006/math">
        <m:acc>
          <m:accPr>
            <m:chr m:val="¯"/>
          </m:accPr>
          <m:e>
            <m:r>
              <m:t xml:space="preserve">S</m:t>
            </m:r>
          </m:e>
        </m:acc>
        <m:r>
          <m:t xml:space="preserve">=</m:t>
        </m:r>
        <m:f>
          <m:fPr>
            <m:type m:val="lin"/>
          </m:fPr>
          <m:num>
            <m:r>
              <m:t xml:space="preserve">−</m:t>
            </m:r>
            <m:sSub>
              <m:e>
                <m:r>
                  <m:t xml:space="preserve">α</m:t>
                </m:r>
              </m:e>
              <m:sub>
                <m:r>
                  <m:t xml:space="preserve">0</m:t>
                </m:r>
              </m:sub>
            </m:sSub>
          </m:num>
          <m:den>
            <m:sSub>
              <m:e>
                <m:r>
                  <m:t xml:space="preserve">α</m:t>
                </m:r>
              </m:e>
              <m:sub>
                <m:r>
                  <m:t xml:space="preserve">1</m:t>
                </m:r>
              </m:sub>
            </m:sSub>
          </m:den>
        </m:f>
      </m:oMath>
      <w:r>
        <w:rPr/>
        <w:tab/>
        <w:t>(3.6)</w:t>
      </w:r>
    </w:p>
    <w:p>
      <w:pPr>
        <w:pStyle w:val="Equation"/>
        <w:rPr/>
      </w:pPr>
      <w:r>
        <w:rPr/>
        <w:tab/>
      </w:r>
      <w:r>
        <w:rPr/>
      </w:r>
      <m:oMath xmlns:m="http://schemas.openxmlformats.org/officeDocument/2006/math">
        <m:r>
          <m:t xml:space="preserve">α</m:t>
        </m:r>
        <m:r>
          <m:t xml:space="preserve">=</m:t>
        </m:r>
        <m:r>
          <m:t xml:space="preserve">−</m:t>
        </m:r>
        <m:r>
          <m:rPr>
            <m:lit/>
            <m:nor/>
          </m:rPr>
          <m:t xml:space="preserve">ln</m:t>
        </m:r>
        <m:r>
          <m:t xml:space="preserve">(</m:t>
        </m:r>
        <m:r>
          <m:t xml:space="preserve">1</m:t>
        </m:r>
        <m:r>
          <m:t xml:space="preserve">+</m:t>
        </m:r>
        <m:sSub>
          <m:e>
            <m:r>
              <m:t xml:space="preserve">α</m:t>
            </m:r>
          </m:e>
          <m:sub>
            <m:r>
              <m:t xml:space="preserve">1</m:t>
            </m:r>
          </m:sub>
        </m:sSub>
        <m:r>
          <m:t xml:space="preserve">)</m:t>
        </m:r>
      </m:oMath>
      <w:r>
        <w:rPr/>
        <w:tab/>
        <w:t>(3.7)</w:t>
      </w:r>
    </w:p>
    <w:p>
      <w:pPr>
        <w:pStyle w:val="Equation"/>
        <w:rPr/>
      </w:pPr>
      <w:r>
        <w:rPr/>
        <w:tab/>
      </w:r>
      <w:r>
        <w:rPr/>
      </w:r>
      <m:oMath xmlns:m="http://schemas.openxmlformats.org/officeDocument/2006/math">
        <m:r>
          <m:t xml:space="preserve">σ</m:t>
        </m:r>
        <m:r>
          <m:t xml:space="preserve">=</m:t>
        </m:r>
        <m:sSubSup>
          <m:e>
            <m:r>
              <m:t xml:space="preserve">σ</m:t>
            </m:r>
          </m:e>
          <m:sub>
            <m:r>
              <m:t xml:space="preserve">ν</m:t>
            </m:r>
          </m:sub>
          <m:sup>
            <m:r>
              <m:t xml:space="preserve">2</m:t>
            </m:r>
          </m:sup>
        </m:sSubSup>
        <m:rad>
          <m:radPr>
            <m:degHide m:val="1"/>
          </m:radPr>
          <m:deg/>
          <m:e>
            <m:f>
              <m:num>
                <m:r>
                  <m:rPr>
                    <m:lit/>
                    <m:nor/>
                  </m:rPr>
                  <m:t xml:space="preserve">ln</m:t>
                </m:r>
                <m:r>
                  <m:t xml:space="preserve">(</m:t>
                </m:r>
                <m:r>
                  <m:t xml:space="preserve">1</m:t>
                </m:r>
                <m:r>
                  <m:t xml:space="preserve">+</m:t>
                </m:r>
                <m:sSub>
                  <m:e>
                    <m:r>
                      <m:t xml:space="preserve">α</m:t>
                    </m:r>
                  </m:e>
                  <m:sub>
                    <m:r>
                      <m:t xml:space="preserve">1</m:t>
                    </m:r>
                  </m:sub>
                </m:sSub>
                <m:r>
                  <m:t xml:space="preserve">)</m:t>
                </m:r>
              </m:num>
              <m:den>
                <m:r>
                  <m:rPr>
                    <m:lit/>
                    <m:nor/>
                  </m:rPr>
                  <m:t xml:space="preserve">log</m:t>
                </m:r>
                <m:r>
                  <m:t xml:space="preserve">(</m:t>
                </m:r>
                <m:r>
                  <m:t xml:space="preserve">1</m:t>
                </m:r>
                <m:r>
                  <m:t xml:space="preserve">+</m:t>
                </m:r>
                <m:sSub>
                  <m:e>
                    <m:r>
                      <m:t xml:space="preserve">α</m:t>
                    </m:r>
                  </m:e>
                  <m:sub>
                    <m:r>
                      <m:t xml:space="preserve">1</m:t>
                    </m:r>
                  </m:sub>
                </m:sSub>
                <m:sSup>
                  <m:e>
                    <m:r>
                      <m:t xml:space="preserve">)</m:t>
                    </m:r>
                  </m:e>
                  <m:sup>
                    <m:r>
                      <m:t xml:space="preserve">2</m:t>
                    </m:r>
                  </m:sup>
                </m:sSup>
                <m:r>
                  <m:t xml:space="preserve">−</m:t>
                </m:r>
                <m:r>
                  <m:t xml:space="preserve">1</m:t>
                </m:r>
              </m:den>
            </m:f>
          </m:e>
        </m:rad>
      </m:oMath>
      <w:r>
        <w:rPr/>
        <w:tab/>
        <w:t>(3.8)</w:t>
      </w:r>
    </w:p>
    <w:p>
      <w:pPr>
        <w:pStyle w:val="Normal"/>
        <w:rPr>
          <w:color w:val="000000"/>
        </w:rPr>
      </w:pPr>
      <w:r>
        <w:rPr>
          <w:color w:val="000000"/>
        </w:rPr>
      </w:r>
    </w:p>
    <w:p>
      <w:pPr>
        <w:pStyle w:val="Heading3"/>
        <w:ind w:hanging="0" w:start="0"/>
        <w:rPr>
          <w:color w:val="000000"/>
        </w:rPr>
      </w:pPr>
      <w:r>
        <w:rPr>
          <w:color w:val="000000"/>
        </w:rPr>
        <w:t>3.3.3</w:t>
        <w:tab/>
        <w:t>Volatility Estimation: Special Issues</w:t>
      </w:r>
    </w:p>
    <w:p>
      <w:pPr>
        <w:pStyle w:val="Normal"/>
        <w:rPr>
          <w:color w:val="000000"/>
        </w:rPr>
      </w:pPr>
      <w:r>
        <w:rPr>
          <w:color w:val="000000"/>
        </w:rPr>
      </w:r>
    </w:p>
    <w:p>
      <w:pPr>
        <w:pStyle w:val="Normal"/>
        <w:rPr>
          <w:color w:val="000000"/>
        </w:rPr>
      </w:pPr>
      <w:r>
        <w:rPr>
          <w:color w:val="000000"/>
        </w:rPr>
        <w:t>This section will contain the discussion of several special issues: the choice of the annualisation factor and the use of intra-period data (typically this means intraday prices).</w:t>
      </w:r>
    </w:p>
    <w:p>
      <w:pPr>
        <w:pStyle w:val="Normal"/>
        <w:rPr>
          <w:color w:val="000000"/>
        </w:rPr>
      </w:pPr>
      <w:r>
        <w:rPr>
          <w:color w:val="000000"/>
        </w:rPr>
      </w:r>
    </w:p>
    <w:p>
      <w:pPr>
        <w:pStyle w:val="Normal"/>
        <w:rPr>
          <w:color w:val="000000"/>
        </w:rPr>
      </w:pPr>
      <w:r>
        <w:rPr>
          <w:color w:val="000000"/>
        </w:rPr>
        <w:t>A typical textbook discussion of the annualisation factor typically evolves around the correct number of trading days in a year.  However, the issue is more complicated than this.  French and Roll (1986) compared the variance of price returns during the week with the variance of price returns calculated for the weekend.  One can calculate four daily price returns for weekdays (Monday over Tuesday, Wednesday over Tuesday, etc) and one weekend return (Monday close to Friday close).  For the US stock data used in their study the authors determined that the weekend was equivalent to 1.107 trading days.  This result can be easily explained.  Volatility is related to trading activities that are in turn triggered by the flow of information into the trading rooms.  Over the weekend, the information flow slows down when trading is suspended and new information is processed during trading activity on Monday.  This explains why the three calendar day period is practically equal to one trading day.  Using this finding one can argue for an annualisation factor of 266 [= 52 * (4 + 1.107)].</w:t>
      </w:r>
    </w:p>
    <w:p>
      <w:pPr>
        <w:pStyle w:val="Normal"/>
        <w:rPr>
          <w:color w:val="000000"/>
        </w:rPr>
      </w:pPr>
      <w:r>
        <w:rPr>
          <w:color w:val="000000"/>
        </w:rPr>
      </w:r>
    </w:p>
    <w:p>
      <w:pPr>
        <w:pStyle w:val="Normal"/>
        <w:rPr>
          <w:color w:val="000000"/>
        </w:rPr>
      </w:pPr>
      <w:r>
        <w:rPr>
          <w:color w:val="000000"/>
        </w:rPr>
        <w:t>However, energy markets are different.  In many cases the information flow does not slow down significantly on weekends.  One can argue that the information regarding political events and weather (which is extremely important for the natural gas, heating oil, propane and electricity markets) keeps flowing roughly at the same rate over the weekend as during the working week.  Data analysis confirms our intuition.  We have looked at the weekday/weekend volatility for natural gas and crude oil using the prompt month NYMEX contracts yearly from 199 until the first quarter of 2000.  The results are summarized in Table 3.1.</w:t>
      </w:r>
    </w:p>
    <w:p>
      <w:pPr>
        <w:pStyle w:val="Normal"/>
        <w:rPr>
          <w:color w:val="000000"/>
        </w:rPr>
      </w:pPr>
      <w:r>
        <w:rPr>
          <w:color w:val="000000"/>
        </w:rPr>
      </w:r>
    </w:p>
    <w:p>
      <w:pPr>
        <w:pStyle w:val="Normal"/>
        <w:jc w:val="center"/>
        <w:rPr/>
      </w:pPr>
      <w:r>
        <w:rPr/>
        <w:t>Table 3.1: Weekday/Weekend Volatility Ratio (%)</w:t>
      </w:r>
    </w:p>
    <w:tbl>
      <w:tblPr>
        <w:tblW w:w="6390" w:type="dxa"/>
        <w:jc w:val="start"/>
        <w:tblInd w:w="1270" w:type="dxa"/>
        <w:tblLayout w:type="fixed"/>
        <w:tblCellMar>
          <w:top w:w="10" w:type="dxa"/>
          <w:start w:w="10" w:type="dxa"/>
          <w:bottom w:w="0" w:type="dxa"/>
          <w:end w:w="10" w:type="dxa"/>
        </w:tblCellMar>
      </w:tblPr>
      <w:tblGrid>
        <w:gridCol w:w="1350"/>
        <w:gridCol w:w="900"/>
        <w:gridCol w:w="1980"/>
        <w:gridCol w:w="540"/>
        <w:gridCol w:w="1620"/>
      </w:tblGrid>
      <w:tr>
        <w:trPr>
          <w:trHeight w:val="255" w:hRule="atLeast"/>
        </w:trPr>
        <w:tc>
          <w:tcPr>
            <w:tcW w:w="1350" w:type="dxa"/>
            <w:tcBorders/>
            <w:vAlign w:val="bottom"/>
          </w:tcPr>
          <w:p>
            <w:pPr>
              <w:pStyle w:val="Normal"/>
              <w:spacing w:lineRule="auto" w:line="240"/>
              <w:rPr>
                <w:rFonts w:eastAsia="Arial Unicode MS"/>
                <w:color w:val="000000"/>
              </w:rPr>
            </w:pPr>
            <w:r>
              <w:rPr>
                <w:color w:val="000000"/>
              </w:rPr>
              <w:t>Year</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2520" w:type="dxa"/>
            <w:gridSpan w:val="2"/>
            <w:tcBorders/>
            <w:vAlign w:val="bottom"/>
          </w:tcPr>
          <w:p>
            <w:pPr>
              <w:pStyle w:val="Normal"/>
              <w:spacing w:lineRule="auto" w:line="240"/>
              <w:rPr>
                <w:rFonts w:eastAsia="Arial Unicode MS"/>
                <w:color w:val="000000"/>
              </w:rPr>
            </w:pPr>
            <w:r>
              <w:rPr>
                <w:color w:val="000000"/>
              </w:rPr>
              <w:t>Natural Gas</w:t>
            </w:r>
          </w:p>
        </w:tc>
        <w:tc>
          <w:tcPr>
            <w:tcW w:w="1620" w:type="dxa"/>
            <w:tcBorders/>
            <w:vAlign w:val="bottom"/>
          </w:tcPr>
          <w:p>
            <w:pPr>
              <w:pStyle w:val="Normal"/>
              <w:spacing w:lineRule="auto" w:line="240"/>
              <w:rPr>
                <w:rFonts w:eastAsia="Arial Unicode MS"/>
                <w:color w:val="000000"/>
              </w:rPr>
            </w:pPr>
            <w:r>
              <w:rPr>
                <w:color w:val="000000"/>
              </w:rPr>
              <w:t>Crude</w:t>
            </w:r>
          </w:p>
        </w:tc>
      </w:tr>
      <w:tr>
        <w:trPr>
          <w:trHeight w:val="255" w:hRule="atLeast"/>
        </w:trPr>
        <w:tc>
          <w:tcPr>
            <w:tcW w:w="135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napToGrid w:val="false"/>
              <w:spacing w:lineRule="auto" w:line="240"/>
              <w:rPr>
                <w:rFonts w:eastAsia="Arial Unicode MS"/>
                <w:color w:val="000000"/>
              </w:rPr>
            </w:pPr>
            <w:r>
              <w:rPr>
                <w:rFonts w:eastAsia="Arial Unicode MS"/>
                <w:color w:val="000000"/>
              </w:rPr>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1995</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103.41</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119.81</w:t>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1996</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134.57</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138.05</w:t>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1997</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128.72</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113.98</w:t>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1998</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125.03</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144.51</w:t>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1999</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115.47</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88.17</w:t>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2000</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pacing w:lineRule="auto" w:line="240"/>
              <w:rPr>
                <w:rFonts w:eastAsia="Arial Unicode MS"/>
                <w:color w:val="000000"/>
              </w:rPr>
            </w:pPr>
            <w:r>
              <w:rPr>
                <w:color w:val="000000"/>
              </w:rPr>
              <w:t>152.78</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pacing w:lineRule="auto" w:line="240"/>
              <w:rPr>
                <w:rFonts w:eastAsia="Arial Unicode MS"/>
                <w:color w:val="000000"/>
              </w:rPr>
            </w:pPr>
            <w:r>
              <w:rPr>
                <w:color w:val="000000"/>
              </w:rPr>
              <w:t>93.51</w:t>
            </w:r>
          </w:p>
        </w:tc>
      </w:tr>
      <w:tr>
        <w:trPr>
          <w:trHeight w:val="255" w:hRule="atLeast"/>
        </w:trPr>
        <w:tc>
          <w:tcPr>
            <w:tcW w:w="135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napToGrid w:val="false"/>
              <w:spacing w:lineRule="auto" w:line="240"/>
              <w:rPr>
                <w:rFonts w:eastAsia="Arial Unicode MS"/>
                <w:color w:val="000000"/>
              </w:rPr>
            </w:pPr>
            <w:r>
              <w:rPr>
                <w:rFonts w:eastAsia="Arial Unicode MS"/>
                <w:color w:val="000000"/>
              </w:rPr>
            </w:r>
          </w:p>
        </w:tc>
      </w:tr>
      <w:tr>
        <w:trPr>
          <w:trHeight w:val="255" w:hRule="atLeast"/>
        </w:trPr>
        <w:tc>
          <w:tcPr>
            <w:tcW w:w="135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vAlign w:val="bottom"/>
          </w:tcPr>
          <w:p>
            <w:pPr>
              <w:pStyle w:val="Normal"/>
              <w:snapToGrid w:val="false"/>
              <w:spacing w:lineRule="auto" w:line="240"/>
              <w:rPr>
                <w:rFonts w:eastAsia="Arial Unicode MS"/>
                <w:color w:val="000000"/>
              </w:rPr>
            </w:pPr>
            <w:r>
              <w:rPr>
                <w:rFonts w:eastAsia="Arial Unicode MS"/>
                <w:color w:val="000000"/>
              </w:rPr>
            </w:r>
          </w:p>
        </w:tc>
      </w:tr>
      <w:tr>
        <w:trPr>
          <w:trHeight w:val="255" w:hRule="atLeast"/>
        </w:trPr>
        <w:tc>
          <w:tcPr>
            <w:tcW w:w="1350" w:type="dxa"/>
            <w:tcBorders/>
            <w:vAlign w:val="bottom"/>
          </w:tcPr>
          <w:p>
            <w:pPr>
              <w:pStyle w:val="Normal"/>
              <w:spacing w:lineRule="auto" w:line="240"/>
              <w:rPr>
                <w:rFonts w:eastAsia="Arial Unicode MS"/>
                <w:color w:val="000000"/>
              </w:rPr>
            </w:pPr>
            <w:r>
              <w:rPr>
                <w:color w:val="000000"/>
              </w:rPr>
              <w:t>Average</w:t>
            </w:r>
          </w:p>
        </w:tc>
        <w:tc>
          <w:tcPr>
            <w:tcW w:w="90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980" w:type="dxa"/>
            <w:tcBorders>
              <w:bottom w:val="single" w:sz="4" w:space="0" w:color="000000"/>
            </w:tcBorders>
            <w:vAlign w:val="bottom"/>
          </w:tcPr>
          <w:p>
            <w:pPr>
              <w:pStyle w:val="Normal"/>
              <w:spacing w:lineRule="auto" w:line="240"/>
              <w:rPr>
                <w:rFonts w:eastAsia="Arial Unicode MS"/>
                <w:color w:val="000000"/>
              </w:rPr>
            </w:pPr>
            <w:r>
              <w:rPr>
                <w:color w:val="000000"/>
              </w:rPr>
              <w:t>125.02%</w:t>
            </w:r>
          </w:p>
        </w:tc>
        <w:tc>
          <w:tcPr>
            <w:tcW w:w="540" w:type="dxa"/>
            <w:tcBorders/>
            <w:vAlign w:val="bottom"/>
          </w:tcPr>
          <w:p>
            <w:pPr>
              <w:pStyle w:val="Normal"/>
              <w:snapToGrid w:val="false"/>
              <w:spacing w:lineRule="auto" w:line="240"/>
              <w:rPr>
                <w:rFonts w:eastAsia="Arial Unicode MS"/>
                <w:color w:val="000000"/>
              </w:rPr>
            </w:pPr>
            <w:r>
              <w:rPr>
                <w:rFonts w:eastAsia="Arial Unicode MS"/>
                <w:color w:val="000000"/>
              </w:rPr>
            </w:r>
          </w:p>
        </w:tc>
        <w:tc>
          <w:tcPr>
            <w:tcW w:w="1620" w:type="dxa"/>
            <w:tcBorders>
              <w:bottom w:val="single" w:sz="4" w:space="0" w:color="000000"/>
            </w:tcBorders>
            <w:vAlign w:val="bottom"/>
          </w:tcPr>
          <w:p>
            <w:pPr>
              <w:pStyle w:val="Normal"/>
              <w:spacing w:lineRule="auto" w:line="240"/>
              <w:rPr>
                <w:rFonts w:eastAsia="Arial Unicode MS"/>
                <w:color w:val="000000"/>
              </w:rPr>
            </w:pPr>
            <w:r>
              <w:rPr>
                <w:color w:val="000000"/>
              </w:rPr>
              <w:t>125.90%</w:t>
            </w:r>
          </w:p>
        </w:tc>
      </w:tr>
    </w:tbl>
    <w:p>
      <w:pPr>
        <w:pStyle w:val="Header"/>
        <w:tabs>
          <w:tab w:val="clear" w:pos="4320"/>
          <w:tab w:val="clear" w:pos="8640"/>
        </w:tabs>
        <w:rPr>
          <w:color w:val="000000"/>
        </w:rPr>
      </w:pPr>
      <w:r>
        <w:rPr>
          <w:color w:val="000000"/>
        </w:rPr>
      </w:r>
    </w:p>
    <w:p>
      <w:pPr>
        <w:pStyle w:val="Normal"/>
        <w:rPr>
          <w:color w:val="000000"/>
        </w:rPr>
      </w:pPr>
      <w:r>
        <w:rPr>
          <w:color w:val="000000"/>
        </w:rPr>
        <w:t>As we can see, the ratio of weekend to weekday volatility may be significantly higher than in the case of equities.  On average, the volatility ratio implies the annualisation factor of the square root of 273 [= 52 * (4 + 1.25)].</w:t>
      </w:r>
    </w:p>
    <w:p>
      <w:pPr>
        <w:pStyle w:val="Normal"/>
        <w:rPr>
          <w:color w:val="000000"/>
        </w:rPr>
      </w:pPr>
      <w:r>
        <w:rPr>
          <w:color w:val="000000"/>
        </w:rPr>
      </w:r>
    </w:p>
    <w:p>
      <w:pPr>
        <w:pStyle w:val="Normal"/>
        <w:rPr/>
      </w:pPr>
      <w:r>
        <w:rPr>
          <w:color w:val="000000"/>
        </w:rPr>
        <w:t xml:space="preserve">What can be done in view of these findings?  One natural solution is to agree on the annualisation factor that will be used across the board for all commodities.  This guarantees that any volatility quote will be unambiguous and can be restated by another trader based on his personal views of the market.  Our recommendation is to use </w:t>
      </w:r>
      <w:r>
        <w:rPr>
          <w:rFonts w:eastAsia="Symbol" w:cs="Symbol" w:ascii="Symbol" w:hAnsi="Symbol"/>
          <w:color w:val="000000"/>
        </w:rPr>
        <w:sym w:font="Symbol" w:char="f0d6"/>
      </w:r>
      <w:r>
        <w:rPr>
          <w:color w:val="000000"/>
        </w:rPr>
        <w:t>250.</w:t>
      </w:r>
    </w:p>
    <w:p>
      <w:pPr>
        <w:pStyle w:val="Normal"/>
        <w:rPr>
          <w:color w:val="000000"/>
        </w:rPr>
      </w:pPr>
      <w:r>
        <w:rPr>
          <w:color w:val="000000"/>
        </w:rPr>
      </w:r>
    </w:p>
    <w:p>
      <w:pPr>
        <w:pStyle w:val="Heading3"/>
        <w:ind w:hanging="0" w:start="0"/>
        <w:rPr>
          <w:color w:val="000000"/>
        </w:rPr>
      </w:pPr>
      <w:r>
        <w:rPr>
          <w:color w:val="000000"/>
        </w:rPr>
        <w:t>3.3.4</w:t>
        <w:tab/>
        <w:t>Intraday Price Variability</w:t>
      </w:r>
    </w:p>
    <w:p>
      <w:pPr>
        <w:pStyle w:val="Normal"/>
        <w:rPr>
          <w:color w:val="000000"/>
        </w:rPr>
      </w:pPr>
      <w:r>
        <w:rPr>
          <w:color w:val="000000"/>
        </w:rPr>
      </w:r>
    </w:p>
    <w:p>
      <w:pPr>
        <w:pStyle w:val="Normal"/>
        <w:rPr>
          <w:color w:val="000000"/>
        </w:rPr>
      </w:pPr>
      <w:r>
        <w:rPr>
          <w:color w:val="000000"/>
        </w:rPr>
        <w:t>Volatility is typically estimated from the market closing prices.  In many cases, using closing price information for volatility estimation causes loss of very valuable information as additional information is available about the price changes between the market opening and closing prices.  Many markets, and energy markets in particular are characterized by very high volatility of intraday prices.</w:t>
      </w:r>
    </w:p>
    <w:p>
      <w:pPr>
        <w:pStyle w:val="Normal"/>
        <w:rPr>
          <w:color w:val="000000"/>
        </w:rPr>
      </w:pPr>
      <w:r>
        <w:rPr>
          <w:color w:val="000000"/>
        </w:rPr>
      </w:r>
    </w:p>
    <w:p>
      <w:pPr>
        <w:pStyle w:val="Heading3"/>
        <w:ind w:hanging="0" w:start="0"/>
        <w:rPr>
          <w:color w:val="000000"/>
        </w:rPr>
      </w:pPr>
      <w:r>
        <w:rPr>
          <w:color w:val="000000"/>
        </w:rPr>
        <w:t>3.3.5</w:t>
        <w:tab/>
        <w:t>Estimation of Volatility For a Basket</w:t>
      </w:r>
    </w:p>
    <w:p>
      <w:pPr>
        <w:pStyle w:val="Normal"/>
        <w:rPr>
          <w:b/>
          <w:bCs/>
          <w:color w:val="000000"/>
        </w:rPr>
      </w:pPr>
      <w:r>
        <w:rPr>
          <w:b/>
          <w:bCs/>
          <w:color w:val="000000"/>
        </w:rPr>
      </w:r>
    </w:p>
    <w:p>
      <w:pPr>
        <w:pStyle w:val="Normal"/>
        <w:rPr>
          <w:color w:val="000000"/>
        </w:rPr>
      </w:pPr>
      <w:r>
        <w:rPr>
          <w:color w:val="000000"/>
        </w:rPr>
        <w:t>In many energy markets, both producers and end-users hedge their price exposures with so-called basket options.  A basket option is defined in terms of a sum of two or more prices.  In some cases, the prices may be weighted using weights corresponding to the option buyer’s economic sensitivity to different component prices.   For example, an oil and natural gas producer may be interested in buying an option on a composite commodity that is constructed by weighting oil and gas prices (expressed in terms of a common BTU equivalent) by 0.7 and 0.3, respectively.  To be more precise, the call option payoff is defined as</w:t>
      </w:r>
    </w:p>
    <w:p>
      <w:pPr>
        <w:pStyle w:val="Normal"/>
        <w:rPr>
          <w:color w:val="000000"/>
        </w:rPr>
      </w:pPr>
      <w:r>
        <w:rPr>
          <w:color w:val="000000"/>
        </w:rPr>
      </w:r>
    </w:p>
    <w:p>
      <w:pPr>
        <w:pStyle w:val="Equation"/>
        <w:rPr/>
      </w:pPr>
      <w:r>
        <w:rPr/>
        <w:tab/>
      </w:r>
      <w:r>
        <w:rPr/>
      </w:r>
      <m:oMath xmlns:m="http://schemas.openxmlformats.org/officeDocument/2006/math">
        <m:r>
          <m:rPr>
            <m:lit/>
            <m:nor/>
          </m:rPr>
          <m:t xml:space="preserve">max</m:t>
        </m:r>
        <m:r>
          <m:t xml:space="preserve">(</m:t>
        </m:r>
        <m:r>
          <m:t xml:space="preserve">0</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K</m:t>
        </m:r>
        <m:r>
          <m:t xml:space="preserve">)</m:t>
        </m:r>
      </m:oMath>
      <w:r>
        <w:rPr/>
        <w:tab/>
        <w:t>(3.9)</w:t>
      </w:r>
    </w:p>
    <w:p>
      <w:pPr>
        <w:pStyle w:val="Normal"/>
        <w:rPr>
          <w:color w:val="000000"/>
        </w:rPr>
      </w:pPr>
      <w:r>
        <w:rPr>
          <w:color w:val="000000"/>
        </w:rPr>
      </w:r>
    </w:p>
    <w:p>
      <w:pPr>
        <w:pStyle w:val="Normal"/>
        <w:rPr>
          <w:color w:val="000000"/>
        </w:rPr>
      </w:pPr>
      <w:r>
        <w:rPr>
          <w:color w:val="000000"/>
        </w:rPr>
        <w:t>and the put option payoff is defined as</w:t>
      </w:r>
    </w:p>
    <w:p>
      <w:pPr>
        <w:pStyle w:val="Normal"/>
        <w:rPr>
          <w:color w:val="000000"/>
        </w:rPr>
      </w:pPr>
      <w:r>
        <w:rPr>
          <w:color w:val="000000"/>
        </w:rPr>
      </w:r>
    </w:p>
    <w:p>
      <w:pPr>
        <w:pStyle w:val="Equation"/>
        <w:rPr/>
      </w:pPr>
      <w:r>
        <w:rPr/>
        <w:tab/>
      </w:r>
      <w:r>
        <w:rPr/>
      </w:r>
      <m:oMath xmlns:m="http://schemas.openxmlformats.org/officeDocument/2006/math">
        <m:r>
          <m:rPr>
            <m:lit/>
            <m:nor/>
          </m:rPr>
          <m:t xml:space="preserve">max</m:t>
        </m:r>
        <m:r>
          <m:t xml:space="preserve">(</m:t>
        </m:r>
        <m:r>
          <m:t xml:space="preserve">0</m:t>
        </m:r>
        <m:r>
          <m:t xml:space="preserve">,</m:t>
        </m:r>
        <m:r>
          <m:t xml:space="preserve">K</m:t>
        </m:r>
        <m:r>
          <m:t xml:space="preserve">−</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m:t>
        </m:r>
      </m:oMath>
      <w:r>
        <w:rPr/>
        <w:tab/>
        <w:t>(3.10)</w:t>
      </w:r>
    </w:p>
    <w:p>
      <w:pPr>
        <w:pStyle w:val="Normal"/>
        <w:rPr>
          <w:color w:val="000000"/>
        </w:rPr>
      </w:pPr>
      <w:r>
        <w:rPr>
          <w:color w:val="000000"/>
        </w:rPr>
      </w:r>
    </w:p>
    <w:p>
      <w:pPr>
        <w:pStyle w:val="Normal"/>
        <w:rPr/>
      </w:pPr>
      <w:r>
        <w:rPr>
          <w:color w:val="000000"/>
        </w:rPr>
        <w:t xml:space="preserve">where </w:t>
      </w:r>
      <w:r>
        <w:rPr>
          <w:color w:val="000000"/>
        </w:rPr>
      </w:r>
      <m:oMath xmlns:m="http://schemas.openxmlformats.org/officeDocument/2006/math">
        <m:sSub>
          <m:e>
            <m:r>
              <m:t xml:space="preserve">S</m:t>
            </m:r>
          </m:e>
          <m:sub>
            <m:r>
              <m:t xml:space="preserve">1</m:t>
            </m:r>
          </m:sub>
        </m:sSub>
      </m:oMath>
      <w:r>
        <w:rPr>
          <w:color w:val="000000"/>
        </w:rPr>
        <w:t xml:space="preserve"> and </w:t>
      </w:r>
      <w:r>
        <w:rPr>
          <w:color w:val="000000"/>
        </w:rPr>
      </w:r>
      <m:oMath xmlns:m="http://schemas.openxmlformats.org/officeDocument/2006/math">
        <m:sSub>
          <m:e>
            <m:r>
              <m:t xml:space="preserve">S</m:t>
            </m:r>
          </m:e>
          <m:sub>
            <m:r>
              <m:t xml:space="preserve">2</m:t>
            </m:r>
          </m:sub>
        </m:sSub>
      </m:oMath>
      <w:r>
        <w:rPr>
          <w:color w:val="000000"/>
        </w:rPr>
        <w:t xml:space="preserve"> stand for the prices of the oil and gas and the </w:t>
      </w:r>
      <w:r>
        <w:rPr>
          <w:i/>
          <w:iCs/>
          <w:color w:val="000000"/>
        </w:rPr>
        <w:t>w</w:t>
      </w:r>
      <w:r>
        <w:rPr>
          <w:color w:val="000000"/>
        </w:rPr>
        <w:t>’s stand for the weights. These options can be seen as options written on a composite energy with the volatility derived from the volatilities of the contributing commodities.  The question is how to derive this composite volatility in a formal way.  The answer is produced through the application of Ito’s lemma.</w:t>
      </w:r>
    </w:p>
    <w:p>
      <w:pPr>
        <w:pStyle w:val="Normal"/>
        <w:rPr>
          <w:color w:val="000000"/>
        </w:rPr>
      </w:pPr>
      <w:r>
        <w:rPr>
          <w:color w:val="000000"/>
        </w:rPr>
      </w:r>
    </w:p>
    <w:p>
      <w:pPr>
        <w:pStyle w:val="Normal"/>
        <w:rPr>
          <w:color w:val="000000"/>
        </w:rPr>
      </w:pPr>
      <w:r>
        <w:rPr>
          <w:color w:val="000000"/>
        </w:rPr>
        <w:t>Assume that the prices of the two commodities follow GBM processes given by</w:t>
      </w:r>
    </w:p>
    <w:p>
      <w:pPr>
        <w:pStyle w:val="Normal"/>
        <w:rPr>
          <w:color w:val="000000"/>
        </w:rPr>
      </w:pPr>
      <w:r>
        <w:rPr>
          <w:color w:val="000000"/>
        </w:rPr>
      </w:r>
    </w:p>
    <w:p>
      <w:pPr>
        <w:pStyle w:val="Normal"/>
        <w:ind w:firstLine="720" w:end="0"/>
        <w:rPr>
          <w:color w:val="000000"/>
        </w:rPr>
      </w:pPr>
      <w:r>
        <w:rPr>
          <w:color w:val="000000"/>
        </w:rPr>
      </w:r>
      <m:oMathPara xmlns:m="http://schemas.openxmlformats.org/officeDocument/2006/math">
        <m:oMathParaPr>
          <m:jc m:val="left"/>
        </m:oMathParaPr>
        <m:oMath>
          <m:sSub>
            <m:e>
              <m:r>
                <m:rPr>
                  <m:lit/>
                  <m:nor/>
                </m:rPr>
                <m:t xml:space="preserve">dS</m:t>
              </m:r>
            </m:e>
            <m:sub>
              <m:r>
                <m:t xml:space="preserve">1</m:t>
              </m:r>
            </m:sub>
          </m:sSub>
          <m:r>
            <m:t xml:space="preserve">=</m:t>
          </m:r>
          <m:sSub>
            <m:e>
              <m:r>
                <m:t xml:space="preserve">α</m:t>
              </m:r>
            </m:e>
            <m:sub>
              <m:r>
                <m:t xml:space="preserve">1</m:t>
              </m:r>
            </m:sub>
          </m:sSub>
          <m:sSub>
            <m:e>
              <m:r>
                <m:t xml:space="preserve">S</m:t>
              </m:r>
            </m:e>
            <m:sub>
              <m:r>
                <m:t xml:space="preserve">1</m:t>
              </m:r>
            </m:sub>
          </m:sSub>
          <m:r>
            <m:rPr>
              <m:lit/>
              <m:nor/>
            </m:rPr>
            <m:t xml:space="preserve">dt</m:t>
          </m:r>
          <m:r>
            <m:t xml:space="preserve">+</m:t>
          </m:r>
          <m:sSub>
            <m:e>
              <m:r>
                <m:t xml:space="preserve">σ</m:t>
              </m:r>
            </m:e>
            <m:sub>
              <m:r>
                <m:t xml:space="preserve">1</m:t>
              </m:r>
            </m:sub>
          </m:sSub>
          <m:sSub>
            <m:e>
              <m:r>
                <m:t xml:space="preserve">S</m:t>
              </m:r>
            </m:e>
            <m:sub>
              <m:r>
                <m:t xml:space="preserve">1</m:t>
              </m:r>
            </m:sub>
          </m:sSub>
          <m:r>
            <m:rPr>
              <m:lit/>
              <m:nor/>
            </m:rPr>
            <m:t xml:space="preserve">dz</m:t>
          </m:r>
        </m:oMath>
      </m:oMathPara>
    </w:p>
    <w:p>
      <w:pPr>
        <w:pStyle w:val="Normal"/>
        <w:rPr>
          <w:color w:val="000000"/>
        </w:rPr>
      </w:pPr>
      <w:r>
        <w:rPr>
          <w:color w:val="000000"/>
        </w:rPr>
        <w:t xml:space="preserve">and </w:t>
      </w:r>
    </w:p>
    <w:p>
      <w:pPr>
        <w:pStyle w:val="Normal"/>
        <w:ind w:firstLine="720" w:end="0"/>
        <w:rPr>
          <w:color w:val="000000"/>
        </w:rPr>
      </w:pPr>
      <w:r>
        <w:rPr>
          <w:color w:val="000000"/>
        </w:rPr>
      </w:r>
      <m:oMathPara xmlns:m="http://schemas.openxmlformats.org/officeDocument/2006/math">
        <m:oMathParaPr>
          <m:jc m:val="left"/>
        </m:oMathParaPr>
        <m:oMath>
          <m:sSub>
            <m:e>
              <m:r>
                <m:rPr>
                  <m:lit/>
                  <m:nor/>
                </m:rPr>
                <m:t xml:space="preserve">dS</m:t>
              </m:r>
            </m:e>
            <m:sub>
              <m:r>
                <m:t xml:space="preserve">2</m:t>
              </m:r>
            </m:sub>
          </m:sSub>
          <m:r>
            <m:t xml:space="preserve">=</m:t>
          </m:r>
          <m:sSub>
            <m:e>
              <m:r>
                <m:t xml:space="preserve">α</m:t>
              </m:r>
            </m:e>
            <m:sub>
              <m:r>
                <m:t xml:space="preserve">2</m:t>
              </m:r>
            </m:sub>
          </m:sSub>
          <m:sSub>
            <m:e>
              <m:r>
                <m:t xml:space="preserve">S</m:t>
              </m:r>
            </m:e>
            <m:sub>
              <m:r>
                <m:t xml:space="preserve">2</m:t>
              </m:r>
            </m:sub>
          </m:sSub>
          <m:r>
            <m:rPr>
              <m:lit/>
              <m:nor/>
            </m:rPr>
            <m:t xml:space="preserve">dt</m:t>
          </m:r>
          <m:r>
            <m:t xml:space="preserve">+</m:t>
          </m:r>
          <m:sSub>
            <m:e>
              <m:r>
                <m:t xml:space="preserve">σ</m:t>
              </m:r>
            </m:e>
            <m:sub>
              <m:r>
                <m:t xml:space="preserve">2</m:t>
              </m:r>
            </m:sub>
          </m:sSub>
          <m:sSub>
            <m:e>
              <m:r>
                <m:t xml:space="preserve">S</m:t>
              </m:r>
            </m:e>
            <m:sub>
              <m:r>
                <m:t xml:space="preserve">2</m:t>
              </m:r>
            </m:sub>
          </m:sSub>
          <m:r>
            <m:rPr>
              <m:lit/>
              <m:nor/>
            </m:rPr>
            <m:t xml:space="preserve">dw</m:t>
          </m:r>
        </m:oMath>
      </m:oMathPara>
    </w:p>
    <w:p>
      <w:pPr>
        <w:pStyle w:val="Normal"/>
        <w:rPr>
          <w:color w:val="000000"/>
        </w:rPr>
      </w:pPr>
      <w:r>
        <w:rPr>
          <w:color w:val="000000"/>
        </w:rPr>
      </w:r>
    </w:p>
    <w:p>
      <w:pPr>
        <w:pStyle w:val="Normal"/>
        <w:rPr/>
      </w:pPr>
      <w:r>
        <w:rPr>
          <w:color w:val="000000"/>
        </w:rPr>
        <w:t xml:space="preserve">where </w:t>
      </w:r>
      <w:r>
        <w:rPr>
          <w:i/>
          <w:iCs/>
          <w:color w:val="000000"/>
        </w:rPr>
        <w:t>dz</w:t>
      </w:r>
      <w:r>
        <w:rPr>
          <w:color w:val="000000"/>
        </w:rPr>
        <w:t xml:space="preserve"> and </w:t>
      </w:r>
      <w:r>
        <w:rPr>
          <w:i/>
          <w:iCs/>
          <w:color w:val="000000"/>
        </w:rPr>
        <w:t>dw</w:t>
      </w:r>
      <w:r>
        <w:rPr>
          <w:color w:val="000000"/>
        </w:rPr>
        <w:t xml:space="preserve"> stand for correlated (with a coefficient </w:t>
      </w:r>
      <w:r>
        <w:rPr>
          <w:rFonts w:eastAsia="Symbol" w:cs="Symbol" w:ascii="Symbol" w:hAnsi="Symbol"/>
          <w:color w:val="000000"/>
        </w:rPr>
        <w:sym w:font="Symbol" w:char="f072"/>
      </w:r>
      <w:r>
        <w:rPr>
          <w:color w:val="000000"/>
        </w:rPr>
        <w:t xml:space="preserve">) Brownian motions.  The multivariate extension of Ito’s lemma to some function </w:t>
      </w:r>
      <w:r>
        <w:rPr>
          <w:color w:val="000000"/>
        </w:rPr>
      </w:r>
      <m:oMath xmlns:m="http://schemas.openxmlformats.org/officeDocument/2006/math">
        <m:r>
          <m:t xml:space="preserve">G</m:t>
        </m:r>
        <m:r>
          <m:t xml:space="preserve">=</m:t>
        </m:r>
        <m:r>
          <m:t xml:space="preserve">G</m:t>
        </m:r>
        <m:r>
          <m:t xml:space="preserve">(</m:t>
        </m:r>
        <m:sSub>
          <m:e>
            <m:r>
              <m:t xml:space="preserve">S</m:t>
            </m:r>
          </m:e>
          <m:sub>
            <m:r>
              <m:t xml:space="preserve">1</m:t>
            </m:r>
          </m:sub>
        </m:sSub>
        <m:r>
          <m:t xml:space="preserve">,</m:t>
        </m:r>
        <m:sSub>
          <m:e>
            <m:r>
              <m:t xml:space="preserve">S</m:t>
            </m:r>
          </m:e>
          <m:sub>
            <m:r>
              <m:t xml:space="preserve">2</m:t>
            </m:r>
          </m:sub>
        </m:sSub>
        <m:r>
          <m:t xml:space="preserve">,</m:t>
        </m:r>
        <m:r>
          <m:t xml:space="preserve">t</m:t>
        </m:r>
        <m:r>
          <m:t xml:space="preserve">)</m:t>
        </m:r>
      </m:oMath>
      <w:r>
        <w:rPr>
          <w:color w:val="000000"/>
        </w:rPr>
        <w:t>is given by:</w:t>
      </w:r>
    </w:p>
    <w:p>
      <w:pPr>
        <w:pStyle w:val="Normal"/>
        <w:rPr>
          <w:color w:val="000000"/>
        </w:rPr>
      </w:pPr>
      <w:r>
        <w:rPr>
          <w:color w:val="000000"/>
        </w:rPr>
      </w:r>
    </w:p>
    <w:p>
      <w:pPr>
        <w:pStyle w:val="Equation"/>
        <w:rPr/>
      </w:pPr>
      <w:r>
        <w:rPr/>
        <w:t xml:space="preserve">     </w:t>
      </w:r>
      <w:r>
        <w:rPr/>
      </w:r>
      <m:oMath xmlns:m="http://schemas.openxmlformats.org/officeDocument/2006/math">
        <m:r>
          <m:rPr>
            <m:lit/>
            <m:nor/>
          </m:rPr>
          <m:t xml:space="preserve">dG</m:t>
        </m:r>
        <m:r>
          <m:t xml:space="preserve">=</m:t>
        </m:r>
        <m:f>
          <m:num>
            <m:r>
              <m:t xml:space="preserve">∂</m:t>
            </m:r>
            <m:r>
              <m:t xml:space="preserve">G</m:t>
            </m:r>
          </m:num>
          <m:den>
            <m:r>
              <m:t xml:space="preserve">∂</m:t>
            </m:r>
            <m:sSub>
              <m:e>
                <m:r>
                  <m:t xml:space="preserve">S</m:t>
                </m:r>
              </m:e>
              <m:sub>
                <m:r>
                  <m:t xml:space="preserve">1</m:t>
                </m:r>
              </m:sub>
            </m:sSub>
          </m:den>
        </m:f>
        <m:sSub>
          <m:e>
            <m:r>
              <m:rPr>
                <m:lit/>
                <m:nor/>
              </m:rPr>
              <m:t xml:space="preserve">dS</m:t>
            </m:r>
          </m:e>
          <m:sub>
            <m:r>
              <m:t xml:space="preserve">1</m:t>
            </m:r>
          </m:sub>
        </m:sSub>
        <m:r>
          <m:t xml:space="preserve">+</m:t>
        </m:r>
        <m:f>
          <m:num>
            <m:r>
              <m:t xml:space="preserve">∂</m:t>
            </m:r>
            <m:r>
              <m:t xml:space="preserve">G</m:t>
            </m:r>
          </m:num>
          <m:den>
            <m:r>
              <m:t xml:space="preserve">∂</m:t>
            </m:r>
            <m:sSub>
              <m:e>
                <m:r>
                  <m:t xml:space="preserve">S</m:t>
                </m:r>
              </m:e>
              <m:sub>
                <m:r>
                  <m:t xml:space="preserve">2</m:t>
                </m:r>
              </m:sub>
            </m:sSub>
          </m:den>
        </m:f>
        <m:sSub>
          <m:e>
            <m:r>
              <m:rPr>
                <m:lit/>
                <m:nor/>
              </m:rPr>
              <m:t xml:space="preserve">dS</m:t>
            </m:r>
          </m:e>
          <m:sub>
            <m:r>
              <m:t xml:space="preserve">2</m:t>
            </m:r>
          </m:sub>
        </m:sSub>
        <m:r>
          <m:t xml:space="preserve">+</m:t>
        </m:r>
        <m:f>
          <m:num>
            <m:r>
              <m:t xml:space="preserve">∂</m:t>
            </m:r>
            <m:r>
              <m:t xml:space="preserve">G</m:t>
            </m:r>
          </m:num>
          <m:den>
            <m:r>
              <m:t xml:space="preserve">∂</m:t>
            </m:r>
            <m:r>
              <m:t xml:space="preserve">t</m:t>
            </m:r>
          </m:den>
        </m:f>
        <m:r>
          <m:rPr>
            <m:lit/>
            <m:nor/>
          </m:rPr>
          <m:t xml:space="preserve">dt</m:t>
        </m:r>
        <m:r>
          <m:t xml:space="preserve">+</m:t>
        </m:r>
        <m:f>
          <m:num>
            <m:r>
              <m:t xml:space="preserve">1</m:t>
            </m:r>
          </m:num>
          <m:den>
            <m:r>
              <m:t xml:space="preserve">2</m:t>
            </m:r>
          </m:den>
        </m:f>
        <m:d>
          <m:dPr>
            <m:begChr m:val="("/>
            <m:endChr m:val=")"/>
          </m:dPr>
          <m:e>
            <m:f>
              <m:num>
                <m:sSup>
                  <m:e>
                    <m:r>
                      <m:t xml:space="preserve">∂</m:t>
                    </m:r>
                  </m:e>
                  <m:sup>
                    <m:r>
                      <m:t xml:space="preserve">2</m:t>
                    </m:r>
                  </m:sup>
                </m:sSup>
                <m:r>
                  <m:t xml:space="preserve">G</m:t>
                </m:r>
              </m:num>
              <m:den>
                <m:r>
                  <m:t xml:space="preserve">∂</m:t>
                </m:r>
                <m:sSubSup>
                  <m:e>
                    <m:r>
                      <m:t xml:space="preserve">S</m:t>
                    </m:r>
                  </m:e>
                  <m:sub>
                    <m:r>
                      <m:t xml:space="preserve">1</m:t>
                    </m:r>
                  </m:sub>
                  <m:sup>
                    <m:r>
                      <m:t xml:space="preserve">2</m:t>
                    </m:r>
                  </m:sup>
                </m:sSubSup>
              </m:den>
            </m:f>
            <m:sSubSup>
              <m:e>
                <m:r>
                  <m:rPr>
                    <m:lit/>
                    <m:nor/>
                  </m:rPr>
                  <m:t xml:space="preserve">dS</m:t>
                </m:r>
              </m:e>
              <m:sub>
                <m:r>
                  <m:t xml:space="preserve">1</m:t>
                </m:r>
              </m:sub>
              <m:sup>
                <m:r>
                  <m:t xml:space="preserve">2</m:t>
                </m:r>
              </m:sup>
            </m:sSubSup>
            <m:r>
              <m:t xml:space="preserve">+</m:t>
            </m:r>
            <m:f>
              <m:num>
                <m:sSup>
                  <m:e>
                    <m:r>
                      <m:t xml:space="preserve">∂</m:t>
                    </m:r>
                  </m:e>
                  <m:sup>
                    <m:r>
                      <m:t xml:space="preserve">2</m:t>
                    </m:r>
                  </m:sup>
                </m:sSup>
                <m:r>
                  <m:t xml:space="preserve">G</m:t>
                </m:r>
              </m:num>
              <m:den>
                <m:r>
                  <m:t xml:space="preserve">∂</m:t>
                </m:r>
                <m:sSub>
                  <m:e>
                    <m:r>
                      <m:t xml:space="preserve">S</m:t>
                    </m:r>
                  </m:e>
                  <m:sub>
                    <m:r>
                      <m:t xml:space="preserve">1</m:t>
                    </m:r>
                  </m:sub>
                </m:sSub>
                <m:r>
                  <m:t xml:space="preserve">∂</m:t>
                </m:r>
                <m:sSub>
                  <m:e>
                    <m:r>
                      <m:t xml:space="preserve">S</m:t>
                    </m:r>
                  </m:e>
                  <m:sub>
                    <m:r>
                      <m:t xml:space="preserve">2</m:t>
                    </m:r>
                  </m:sub>
                </m:sSub>
              </m:den>
            </m:f>
            <m:sSub>
              <m:e>
                <m:r>
                  <m:rPr>
                    <m:lit/>
                    <m:nor/>
                  </m:rPr>
                  <m:t xml:space="preserve">dS</m:t>
                </m:r>
              </m:e>
              <m:sub>
                <m:r>
                  <m:t xml:space="preserve">1</m:t>
                </m:r>
              </m:sub>
            </m:sSub>
            <m:sSub>
              <m:e>
                <m:r>
                  <m:rPr>
                    <m:lit/>
                    <m:nor/>
                  </m:rPr>
                  <m:t xml:space="preserve">dS</m:t>
                </m:r>
              </m:e>
              <m:sub>
                <m:r>
                  <m:t xml:space="preserve">2</m:t>
                </m:r>
              </m:sub>
            </m:sSub>
            <m:r>
              <m:t xml:space="preserve">+</m:t>
            </m:r>
            <m:f>
              <m:num>
                <m:sSup>
                  <m:e>
                    <m:r>
                      <m:t xml:space="preserve">∂</m:t>
                    </m:r>
                  </m:e>
                  <m:sup>
                    <m:r>
                      <m:t xml:space="preserve">2</m:t>
                    </m:r>
                  </m:sup>
                </m:sSup>
                <m:r>
                  <m:t xml:space="preserve">G</m:t>
                </m:r>
              </m:num>
              <m:den>
                <m:r>
                  <m:t xml:space="preserve">∂</m:t>
                </m:r>
                <m:sSubSup>
                  <m:e>
                    <m:r>
                      <m:t xml:space="preserve">S</m:t>
                    </m:r>
                  </m:e>
                  <m:sub>
                    <m:r>
                      <m:t xml:space="preserve">2</m:t>
                    </m:r>
                  </m:sub>
                  <m:sup>
                    <m:r>
                      <m:t xml:space="preserve">2</m:t>
                    </m:r>
                  </m:sup>
                </m:sSubSup>
              </m:den>
            </m:f>
            <m:sSubSup>
              <m:e>
                <m:r>
                  <m:rPr>
                    <m:lit/>
                    <m:nor/>
                  </m:rPr>
                  <m:t xml:space="preserve">dS</m:t>
                </m:r>
              </m:e>
              <m:sub>
                <m:r>
                  <m:t xml:space="preserve">2</m:t>
                </m:r>
              </m:sub>
              <m:sup>
                <m:r>
                  <m:t xml:space="preserve">2</m:t>
                </m:r>
              </m:sup>
            </m:sSubSup>
          </m:e>
        </m:d>
      </m:oMath>
      <w:r>
        <w:rPr/>
        <w:tab/>
        <w:t>(3.11)</w:t>
      </w:r>
    </w:p>
    <w:p>
      <w:pPr>
        <w:pStyle w:val="Normal"/>
        <w:rPr>
          <w:color w:val="000000"/>
        </w:rPr>
      </w:pPr>
      <w:r>
        <w:rPr>
          <w:color w:val="000000"/>
        </w:rPr>
      </w:r>
    </w:p>
    <w:p>
      <w:pPr>
        <w:pStyle w:val="Normal"/>
        <w:rPr/>
      </w:pPr>
      <w:r>
        <w:rPr>
          <w:color w:val="000000"/>
        </w:rPr>
        <w:t xml:space="preserve">Applying Ito’s lemma to </w:t>
      </w:r>
      <w:r>
        <w:rPr>
          <w:color w:val="000000"/>
        </w:rPr>
      </w:r>
      <m:oMath xmlns:m="http://schemas.openxmlformats.org/officeDocument/2006/math">
        <m:sSub>
          <m:e>
            <m:r>
              <m:t xml:space="preserve">S</m:t>
            </m:r>
          </m:e>
          <m:sub>
            <m:r>
              <m:t xml:space="preserve">1</m:t>
            </m:r>
          </m:sub>
        </m:sSub>
        <m:r>
          <m:t xml:space="preserve">+</m:t>
        </m:r>
        <m:sSub>
          <m:e>
            <m:r>
              <m:t xml:space="preserve">S</m:t>
            </m:r>
          </m:e>
          <m:sub>
            <m:r>
              <m:t xml:space="preserve">2</m:t>
            </m:r>
          </m:sub>
        </m:sSub>
      </m:oMath>
      <w:r>
        <w:rPr>
          <w:color w:val="000000"/>
        </w:rPr>
        <w:t xml:space="preserve"> renders</w:t>
      </w:r>
    </w:p>
    <w:p>
      <w:pPr>
        <w:pStyle w:val="Normal"/>
        <w:rPr>
          <w:color w:val="000000"/>
        </w:rPr>
      </w:pPr>
      <w:r>
        <w:rPr>
          <w:color w:val="000000"/>
        </w:rPr>
      </w:r>
    </w:p>
    <w:p>
      <w:pPr>
        <w:pStyle w:val="Equation"/>
        <w:rPr/>
      </w:pPr>
      <w:r>
        <w:rPr/>
        <w:tab/>
      </w:r>
      <w:r>
        <w:rPr/>
      </w:r>
      <m:oMath xmlns:m="http://schemas.openxmlformats.org/officeDocument/2006/math">
        <m:sSub>
          <m:e>
            <m:r>
              <m:t xml:space="preserve">σ</m:t>
            </m:r>
          </m:e>
          <m:sub>
            <m:sSub>
              <m:e>
                <m:r>
                  <m:t xml:space="preserve">S</m:t>
                </m:r>
              </m:e>
              <m:sub>
                <m:r>
                  <m:t xml:space="preserve">1</m:t>
                </m:r>
              </m:sub>
            </m:sSub>
            <m:r>
              <m:t xml:space="preserve">+</m:t>
            </m:r>
            <m:sSub>
              <m:e>
                <m:r>
                  <m:t xml:space="preserve">S</m:t>
                </m:r>
              </m:e>
              <m:sub>
                <m:r>
                  <m:t xml:space="preserve">2</m:t>
                </m:r>
              </m:sub>
            </m:sSub>
          </m:sub>
        </m:sSub>
        <m:r>
          <m:t xml:space="preserve">=</m:t>
        </m:r>
        <m:f>
          <m:num>
            <m:rad>
              <m:radPr>
                <m:degHide m:val="1"/>
              </m:radPr>
              <m:deg/>
              <m:e>
                <m:r>
                  <m:rPr>
                    <m:lit/>
                    <m:nor/>
                  </m:rPr>
                  <m:t xml:space="preserve">ln</m:t>
                </m:r>
                <m:r>
                  <m:t xml:space="preserve">[</m:t>
                </m:r>
                <m:sSubSup>
                  <m:e>
                    <m:r>
                      <m:t xml:space="preserve">S</m:t>
                    </m:r>
                  </m:e>
                  <m:sub>
                    <m:r>
                      <m:t xml:space="preserve">1</m:t>
                    </m:r>
                  </m:sub>
                  <m:sup>
                    <m:r>
                      <m:t xml:space="preserve">2</m:t>
                    </m:r>
                  </m:sup>
                </m:sSubSup>
                <m:sSup>
                  <m:e>
                    <m:r>
                      <m:t xml:space="preserve">e</m:t>
                    </m:r>
                  </m:e>
                  <m:sup>
                    <m:sSubSup>
                      <m:e>
                        <m:r>
                          <m:t xml:space="preserve">σ</m:t>
                        </m:r>
                      </m:e>
                      <m:sub>
                        <m:r>
                          <m:t xml:space="preserve">1</m:t>
                        </m:r>
                      </m:sub>
                      <m:sup>
                        <m:r>
                          <m:t xml:space="preserve">2</m:t>
                        </m:r>
                      </m:sup>
                    </m:sSubSup>
                    <m:r>
                      <m:t xml:space="preserve">t</m:t>
                    </m:r>
                  </m:sup>
                </m:sSup>
                <m:r>
                  <m:t xml:space="preserve">+</m:t>
                </m:r>
                <m:r>
                  <m:t xml:space="preserve">2</m:t>
                </m:r>
                <m:sSub>
                  <m:e>
                    <m:r>
                      <m:t xml:space="preserve">S</m:t>
                    </m:r>
                  </m:e>
                  <m:sub>
                    <m:r>
                      <m:t xml:space="preserve">1</m:t>
                    </m:r>
                  </m:sub>
                </m:sSub>
                <m:sSub>
                  <m:e>
                    <m:r>
                      <m:t xml:space="preserve">S</m:t>
                    </m:r>
                  </m:e>
                  <m:sub>
                    <m:r>
                      <m:t xml:space="preserve">2</m:t>
                    </m:r>
                  </m:sub>
                </m:sSub>
                <m:sSup>
                  <m:e>
                    <m:r>
                      <m:t xml:space="preserve">e</m:t>
                    </m:r>
                  </m:e>
                  <m:sup>
                    <m:sSub>
                      <m:e>
                        <m:r>
                          <m:rPr>
                            <m:lit/>
                            <m:nor/>
                          </m:rPr>
                          <m:t xml:space="preserve">ρσ</m:t>
                        </m:r>
                      </m:e>
                      <m:sub>
                        <m:r>
                          <m:t xml:space="preserve">1</m:t>
                        </m:r>
                      </m:sub>
                    </m:sSub>
                    <m:sSub>
                      <m:e>
                        <m:r>
                          <m:t xml:space="preserve">σ</m:t>
                        </m:r>
                      </m:e>
                      <m:sub>
                        <m:r>
                          <m:t xml:space="preserve">2</m:t>
                        </m:r>
                      </m:sub>
                    </m:sSub>
                    <m:r>
                      <m:t xml:space="preserve">t</m:t>
                    </m:r>
                  </m:sup>
                </m:sSup>
                <m:r>
                  <m:t xml:space="preserve">+</m:t>
                </m:r>
                <m:sSubSup>
                  <m:e>
                    <m:r>
                      <m:t xml:space="preserve">S</m:t>
                    </m:r>
                  </m:e>
                  <m:sub>
                    <m:r>
                      <m:t xml:space="preserve">2</m:t>
                    </m:r>
                  </m:sub>
                  <m:sup>
                    <m:r>
                      <m:t xml:space="preserve">2</m:t>
                    </m:r>
                  </m:sup>
                </m:sSubSup>
                <m:sSup>
                  <m:e>
                    <m:r>
                      <m:t xml:space="preserve">e</m:t>
                    </m:r>
                  </m:e>
                  <m:sup>
                    <m:sSubSup>
                      <m:e>
                        <m:r>
                          <m:t xml:space="preserve">σ</m:t>
                        </m:r>
                      </m:e>
                      <m:sub>
                        <m:r>
                          <m:t xml:space="preserve">2</m:t>
                        </m:r>
                      </m:sub>
                      <m:sup>
                        <m:r>
                          <m:t xml:space="preserve">2</m:t>
                        </m:r>
                      </m:sup>
                    </m:sSubSup>
                    <m:r>
                      <m:t xml:space="preserve">t</m:t>
                    </m:r>
                  </m:sup>
                </m:sSup>
                <m:r>
                  <m:t xml:space="preserve">]</m:t>
                </m:r>
                <m:r>
                  <m:t xml:space="preserve">−</m:t>
                </m:r>
                <m:r>
                  <m:t xml:space="preserve">2</m:t>
                </m:r>
                <m:r>
                  <m:rPr>
                    <m:lit/>
                    <m:nor/>
                  </m:rPr>
                  <m:t xml:space="preserve">ln</m:t>
                </m:r>
                <m:r>
                  <m:t xml:space="preserve">[</m:t>
                </m:r>
                <m:sSub>
                  <m:e>
                    <m:r>
                      <m:t xml:space="preserve">S</m:t>
                    </m:r>
                  </m:e>
                  <m:sub>
                    <m:r>
                      <m:t xml:space="preserve">1</m:t>
                    </m:r>
                  </m:sub>
                </m:sSub>
                <m:r>
                  <m:t xml:space="preserve">+</m:t>
                </m:r>
                <m:sSub>
                  <m:e>
                    <m:r>
                      <m:t xml:space="preserve">S</m:t>
                    </m:r>
                  </m:e>
                  <m:sub>
                    <m:r>
                      <m:t xml:space="preserve">2</m:t>
                    </m:r>
                  </m:sub>
                </m:sSub>
                <m:r>
                  <m:t xml:space="preserve">]</m:t>
                </m:r>
              </m:e>
            </m:rad>
          </m:num>
          <m:den>
            <m:rad>
              <m:radPr>
                <m:degHide m:val="1"/>
              </m:radPr>
              <m:deg/>
              <m:e>
                <m:r>
                  <m:t xml:space="preserve">t</m:t>
                </m:r>
              </m:e>
            </m:rad>
          </m:den>
        </m:f>
      </m:oMath>
      <w:r>
        <w:rPr/>
        <w:tab/>
        <w:t>(3.12)</w:t>
      </w:r>
    </w:p>
    <w:p>
      <w:pPr>
        <w:pStyle w:val="Normal"/>
        <w:rPr>
          <w:b/>
          <w:bCs/>
          <w:color w:val="000000"/>
        </w:rPr>
      </w:pPr>
      <w:r>
        <w:rPr>
          <w:b/>
          <w:bCs/>
          <w:color w:val="000000"/>
        </w:rPr>
      </w:r>
    </w:p>
    <w:p>
      <w:pPr>
        <w:pStyle w:val="Heading3"/>
        <w:ind w:hanging="0" w:start="0"/>
        <w:rPr>
          <w:color w:val="000000"/>
        </w:rPr>
      </w:pPr>
      <w:r>
        <w:rPr>
          <w:color w:val="000000"/>
        </w:rPr>
        <w:t>3.3.6</w:t>
        <w:tab/>
        <w:t>Implied Volatility</w:t>
      </w:r>
    </w:p>
    <w:p>
      <w:pPr>
        <w:pStyle w:val="Normal"/>
        <w:rPr>
          <w:color w:val="000000"/>
        </w:rPr>
      </w:pPr>
      <w:r>
        <w:rPr>
          <w:color w:val="000000"/>
        </w:rPr>
      </w:r>
    </w:p>
    <w:p>
      <w:pPr>
        <w:pStyle w:val="Normal"/>
        <w:rPr>
          <w:color w:val="000000"/>
        </w:rPr>
      </w:pPr>
      <w:r>
        <w:rPr>
          <w:color w:val="000000"/>
        </w:rPr>
        <w:t>The previous sections have dealt with estimation of volatility from historical data.  The job of an option trader is to guess what is the level of volatility expected in the future.  A buyer or a writer of an option that is unhedged effectively makes a bet on the price level of the underlying instrument. An option trader who hedges makes a bet on volatility.  Volatility that is used as an input to an option pricing formula that equates the model price with the market price is called an implied volatility.  It is implied in the sense that once an option market price is known one can use the option pricing formula to calculate the volatility input, given that other inputs are known (maturity, the current price of the underlying, interest rate, the strike price).  Volatility can be ‘backed out’ from market prices using a trial and error method or a program allowing for a solution of a nonlinear equation (an option pricing equation in this case).  In practice, implied volatility is usually quoted for at-the-money options and is often calculated based on the average of an at-the-money straddle (a call and a put with the same strike price).</w:t>
      </w:r>
    </w:p>
    <w:p>
      <w:pPr>
        <w:pStyle w:val="Normal"/>
        <w:rPr>
          <w:color w:val="000000"/>
        </w:rPr>
      </w:pPr>
      <w:r>
        <w:rPr>
          <w:color w:val="000000"/>
        </w:rPr>
      </w:r>
    </w:p>
    <w:p>
      <w:pPr>
        <w:pStyle w:val="Normal"/>
        <w:rPr>
          <w:color w:val="000000"/>
        </w:rPr>
      </w:pPr>
      <w:r>
        <w:rPr>
          <w:color w:val="000000"/>
        </w:rPr>
        <w:t xml:space="preserve">It is well-known fact that out-of-the-money options trade at volatility levels that diverge from at-the-money volatility.  This is often referred to as a volatility smile (or a frown, smirk, etc. depending on the shape of the curve).  The traders try to compensate for the shortcomings of the model by adjusting the inputs to the model.  Given that most inputs are well defined and directly observable and cannot be adjusted at will, this leaves only one free parameter that can be manipulated.  The adjustment would lead typically to a volatility smile – the traders increase the volatility for out-of-the-money options to compensate for flat volatility model derived valuations that are perceived to be too low.  There are many competing explanations why this is the case, which are not necessarily mutually exclusive. </w:t>
      </w:r>
    </w:p>
    <w:p>
      <w:pPr>
        <w:pStyle w:val="Normal"/>
        <w:rPr>
          <w:color w:val="000000"/>
        </w:rPr>
      </w:pPr>
      <w:r>
        <w:rPr>
          <w:color w:val="000000"/>
        </w:rPr>
      </w:r>
    </w:p>
    <w:p>
      <w:pPr>
        <w:pStyle w:val="Normal"/>
        <w:rPr/>
      </w:pPr>
      <w:r>
        <w:rPr>
          <w:color w:val="000000"/>
        </w:rPr>
        <w:t xml:space="preserve">The first explanation is related to well-known shortcomings of the Black-Scholes-Merton model which is based on the assumption of normality of price returns and as such understates the probability of extreme outcomes.  One consequence of jumps, in for example electricity prices, which is important from the point of view of management of portfolios of power derivatives, is the presence of so-called </w:t>
      </w:r>
      <w:r>
        <w:rPr>
          <w:i/>
          <w:color w:val="000000"/>
        </w:rPr>
        <w:t>fat tails</w:t>
      </w:r>
      <w:r>
        <w:rPr>
          <w:color w:val="000000"/>
        </w:rPr>
        <w:t xml:space="preserve">. This term is used to refer to the fact that the probability of extreme outcomes inferred from the empirical data exceeds theoretical probabilities which are based on probability distributions typically assumed in the model.  Distributions displaying fat tails are referred to as </w:t>
      </w:r>
      <w:r>
        <w:rPr>
          <w:i/>
          <w:color w:val="000000"/>
        </w:rPr>
        <w:t>leptokurtic</w:t>
      </w:r>
      <w:r>
        <w:rPr>
          <w:color w:val="000000"/>
        </w:rPr>
        <w:t>.  The property is measured by kurtosis, or the fourth moment around the mean, which for the normal distribution is equal to three (in some computer programs, this number is adjusted to be equal to 0).  Table 3.2 displays calculated values of kurtosis for a number of price indices in the US power markets to illustrate the prevalence of leptokurtic distributions in the electricity markets.  The program used for this calculation produces zero kurtosis for the normal distribution.  Hence, we use the traditional term “excess kurtosis”.</w:t>
      </w:r>
    </w:p>
    <w:p>
      <w:pPr>
        <w:pStyle w:val="Normal"/>
        <w:rPr>
          <w:color w:val="000000"/>
        </w:rPr>
      </w:pPr>
      <w:r>
        <w:rPr>
          <w:color w:val="000000"/>
        </w:rPr>
      </w:r>
    </w:p>
    <w:p>
      <w:pPr>
        <w:pStyle w:val="Normal"/>
        <w:jc w:val="center"/>
        <w:rPr>
          <w:b/>
          <w:bCs/>
          <w:color w:val="000000"/>
        </w:rPr>
      </w:pPr>
      <w:r>
        <w:rPr>
          <w:b/>
          <w:bCs/>
          <w:color w:val="000000"/>
        </w:rPr>
        <w:t>Table 3.2: Excess Kurtosis of Selected Power Prices, 29/6/1995 - 2/10/1997.</w:t>
      </w:r>
    </w:p>
    <w:p>
      <w:pPr>
        <w:pStyle w:val="Normal"/>
        <w:rPr>
          <w:b/>
          <w:bCs/>
          <w:color w:val="000000"/>
        </w:rPr>
      </w:pPr>
      <w:r>
        <w:rPr>
          <w:b/>
          <w:bCs/>
          <w:color w:val="000000"/>
        </w:rPr>
      </w:r>
    </w:p>
    <w:tbl>
      <w:tblPr>
        <w:tblW w:w="8640" w:type="dxa"/>
        <w:jc w:val="start"/>
        <w:tblInd w:w="0" w:type="dxa"/>
        <w:tblLayout w:type="fixed"/>
        <w:tblCellMar>
          <w:top w:w="0" w:type="dxa"/>
          <w:start w:w="108" w:type="dxa"/>
          <w:bottom w:w="0" w:type="dxa"/>
          <w:end w:w="108" w:type="dxa"/>
        </w:tblCellMar>
      </w:tblPr>
      <w:tblGrid>
        <w:gridCol w:w="2160"/>
        <w:gridCol w:w="2160"/>
        <w:gridCol w:w="2160"/>
        <w:gridCol w:w="2160"/>
      </w:tblGrid>
      <w:tr>
        <w:trPr/>
        <w:tc>
          <w:tcPr>
            <w:tcW w:w="2160" w:type="dxa"/>
            <w:tcBorders>
              <w:bottom w:val="single" w:sz="4" w:space="0" w:color="000000"/>
              <w:end w:val="single" w:sz="4" w:space="0" w:color="000000"/>
            </w:tcBorders>
          </w:tcPr>
          <w:p>
            <w:pPr>
              <w:pStyle w:val="Normal"/>
              <w:spacing w:lineRule="auto" w:line="240"/>
              <w:rPr>
                <w:color w:val="000000"/>
              </w:rPr>
            </w:pPr>
            <w:r>
              <w:rPr>
                <w:color w:val="000000"/>
              </w:rPr>
              <w:t>Location</w:t>
            </w:r>
          </w:p>
        </w:tc>
        <w:tc>
          <w:tcPr>
            <w:tcW w:w="2160" w:type="dxa"/>
            <w:tcBorders>
              <w:start w:val="single" w:sz="4" w:space="0" w:color="000000"/>
              <w:bottom w:val="single" w:sz="4" w:space="0" w:color="000000"/>
            </w:tcBorders>
          </w:tcPr>
          <w:p>
            <w:pPr>
              <w:pStyle w:val="Normal"/>
              <w:spacing w:lineRule="auto" w:line="240"/>
              <w:rPr>
                <w:color w:val="000000"/>
              </w:rPr>
            </w:pPr>
            <w:r>
              <w:rPr>
                <w:color w:val="000000"/>
              </w:rPr>
              <w:t>PJM</w:t>
            </w:r>
          </w:p>
        </w:tc>
        <w:tc>
          <w:tcPr>
            <w:tcW w:w="2160" w:type="dxa"/>
            <w:tcBorders>
              <w:bottom w:val="single" w:sz="4" w:space="0" w:color="000000"/>
            </w:tcBorders>
          </w:tcPr>
          <w:p>
            <w:pPr>
              <w:pStyle w:val="Normal"/>
              <w:spacing w:lineRule="auto" w:line="240"/>
              <w:rPr>
                <w:color w:val="000000"/>
              </w:rPr>
            </w:pPr>
            <w:r>
              <w:rPr>
                <w:color w:val="000000"/>
              </w:rPr>
              <w:t>Palo Verde</w:t>
            </w:r>
          </w:p>
        </w:tc>
        <w:tc>
          <w:tcPr>
            <w:tcW w:w="2160" w:type="dxa"/>
            <w:tcBorders>
              <w:bottom w:val="single" w:sz="4" w:space="0" w:color="000000"/>
            </w:tcBorders>
          </w:tcPr>
          <w:p>
            <w:pPr>
              <w:pStyle w:val="Normal"/>
              <w:spacing w:lineRule="auto" w:line="240"/>
              <w:rPr>
                <w:color w:val="000000"/>
              </w:rPr>
            </w:pPr>
            <w:r>
              <w:rPr>
                <w:color w:val="000000"/>
              </w:rPr>
              <w:t>COB</w:t>
            </w:r>
          </w:p>
        </w:tc>
      </w:tr>
      <w:tr>
        <w:trPr/>
        <w:tc>
          <w:tcPr>
            <w:tcW w:w="2160" w:type="dxa"/>
            <w:tcBorders>
              <w:top w:val="single" w:sz="4" w:space="0" w:color="000000"/>
              <w:end w:val="single" w:sz="4" w:space="0" w:color="000000"/>
            </w:tcBorders>
          </w:tcPr>
          <w:p>
            <w:pPr>
              <w:pStyle w:val="Normal"/>
              <w:snapToGrid w:val="false"/>
              <w:spacing w:lineRule="auto" w:line="240"/>
              <w:rPr>
                <w:color w:val="000000"/>
              </w:rPr>
            </w:pPr>
            <w:r>
              <w:rPr>
                <w:color w:val="000000"/>
              </w:rPr>
            </w:r>
          </w:p>
        </w:tc>
        <w:tc>
          <w:tcPr>
            <w:tcW w:w="2160" w:type="dxa"/>
            <w:tcBorders>
              <w:top w:val="single" w:sz="4" w:space="0" w:color="000000"/>
              <w:start w:val="single" w:sz="4" w:space="0" w:color="000000"/>
            </w:tcBorders>
          </w:tcPr>
          <w:p>
            <w:pPr>
              <w:pStyle w:val="Normal"/>
              <w:snapToGrid w:val="false"/>
              <w:spacing w:lineRule="auto" w:line="240"/>
              <w:rPr>
                <w:color w:val="000000"/>
              </w:rPr>
            </w:pPr>
            <w:r>
              <w:rPr>
                <w:color w:val="000000"/>
              </w:rPr>
            </w:r>
          </w:p>
        </w:tc>
        <w:tc>
          <w:tcPr>
            <w:tcW w:w="2160" w:type="dxa"/>
            <w:tcBorders>
              <w:top w:val="single" w:sz="4" w:space="0" w:color="000000"/>
            </w:tcBorders>
          </w:tcPr>
          <w:p>
            <w:pPr>
              <w:pStyle w:val="Normal"/>
              <w:snapToGrid w:val="false"/>
              <w:spacing w:lineRule="auto" w:line="240"/>
              <w:rPr>
                <w:color w:val="000000"/>
              </w:rPr>
            </w:pPr>
            <w:r>
              <w:rPr>
                <w:color w:val="000000"/>
              </w:rPr>
            </w:r>
          </w:p>
        </w:tc>
        <w:tc>
          <w:tcPr>
            <w:tcW w:w="2160" w:type="dxa"/>
            <w:tcBorders>
              <w:top w:val="single" w:sz="4" w:space="0" w:color="000000"/>
            </w:tcBorders>
          </w:tcPr>
          <w:p>
            <w:pPr>
              <w:pStyle w:val="Normal"/>
              <w:snapToGrid w:val="false"/>
              <w:spacing w:lineRule="auto" w:line="240"/>
              <w:rPr>
                <w:color w:val="000000"/>
              </w:rPr>
            </w:pPr>
            <w:r>
              <w:rPr>
                <w:color w:val="000000"/>
              </w:rPr>
            </w:r>
          </w:p>
        </w:tc>
      </w:tr>
      <w:tr>
        <w:trPr/>
        <w:tc>
          <w:tcPr>
            <w:tcW w:w="2160" w:type="dxa"/>
            <w:tcBorders>
              <w:end w:val="single" w:sz="4" w:space="0" w:color="000000"/>
            </w:tcBorders>
          </w:tcPr>
          <w:p>
            <w:pPr>
              <w:pStyle w:val="Normal"/>
              <w:spacing w:lineRule="auto" w:line="240"/>
              <w:rPr>
                <w:color w:val="000000"/>
              </w:rPr>
            </w:pPr>
            <w:r>
              <w:rPr>
                <w:color w:val="000000"/>
              </w:rPr>
              <w:t>Kurtosis</w:t>
            </w:r>
          </w:p>
        </w:tc>
        <w:tc>
          <w:tcPr>
            <w:tcW w:w="2160" w:type="dxa"/>
            <w:tcBorders>
              <w:start w:val="single" w:sz="4" w:space="0" w:color="000000"/>
            </w:tcBorders>
          </w:tcPr>
          <w:p>
            <w:pPr>
              <w:pStyle w:val="Normal"/>
              <w:spacing w:lineRule="auto" w:line="240"/>
              <w:rPr>
                <w:color w:val="000000"/>
              </w:rPr>
            </w:pPr>
            <w:r>
              <w:rPr>
                <w:color w:val="000000"/>
              </w:rPr>
              <w:t>4.87</w:t>
            </w:r>
          </w:p>
        </w:tc>
        <w:tc>
          <w:tcPr>
            <w:tcW w:w="2160" w:type="dxa"/>
            <w:tcBorders/>
          </w:tcPr>
          <w:p>
            <w:pPr>
              <w:pStyle w:val="Normal"/>
              <w:spacing w:lineRule="auto" w:line="240"/>
              <w:rPr>
                <w:color w:val="000000"/>
              </w:rPr>
            </w:pPr>
            <w:r>
              <w:rPr>
                <w:color w:val="000000"/>
              </w:rPr>
              <w:t>14.48</w:t>
            </w:r>
          </w:p>
        </w:tc>
        <w:tc>
          <w:tcPr>
            <w:tcW w:w="2160" w:type="dxa"/>
            <w:tcBorders/>
          </w:tcPr>
          <w:p>
            <w:pPr>
              <w:pStyle w:val="Normal"/>
              <w:spacing w:lineRule="auto" w:line="240"/>
              <w:rPr>
                <w:color w:val="000000"/>
              </w:rPr>
            </w:pPr>
            <w:r>
              <w:rPr>
                <w:color w:val="000000"/>
              </w:rPr>
              <w:t>10.78</w:t>
            </w:r>
          </w:p>
        </w:tc>
      </w:tr>
    </w:tbl>
    <w:p>
      <w:pPr>
        <w:pStyle w:val="Normal"/>
        <w:rPr>
          <w:color w:val="000000"/>
        </w:rPr>
      </w:pPr>
      <w:r>
        <w:rPr>
          <w:color w:val="000000"/>
        </w:rPr>
      </w:r>
    </w:p>
    <w:p>
      <w:pPr>
        <w:pStyle w:val="Normal"/>
        <w:rPr>
          <w:color w:val="000000"/>
        </w:rPr>
      </w:pPr>
      <w:r>
        <w:rPr>
          <w:color w:val="000000"/>
        </w:rPr>
        <w:t>One should notice that there are several competing explanations of the presence of fat tails in empirical price distributions.  One source of fat tails is the presence of jumps in the prices which, as we have seen, are a typical feature of power markets. Another explanation is that the parameters of the distribution of returns (which is usually assumed to be normal) vary over time.  Empirical observations of returns are drawn in this case from a mixture of distributions.</w:t>
      </w:r>
    </w:p>
    <w:p>
      <w:pPr>
        <w:pStyle w:val="Normal"/>
        <w:rPr>
          <w:color w:val="000000"/>
        </w:rPr>
      </w:pPr>
      <w:r>
        <w:rPr>
          <w:color w:val="000000"/>
        </w:rPr>
      </w:r>
    </w:p>
    <w:p>
      <w:pPr>
        <w:pStyle w:val="Normal"/>
        <w:rPr/>
      </w:pPr>
      <w:r>
        <w:rPr>
          <w:color w:val="000000"/>
        </w:rPr>
        <w:t xml:space="preserve">This feature of power markets creates not only a challenge from the point of view of pricing electricity derivatives but also from the point of view of portfolio management and </w:t>
      </w:r>
      <w:r>
        <w:rPr>
          <w:i/>
          <w:color w:val="000000"/>
        </w:rPr>
        <w:t>value-at-risk</w:t>
      </w:r>
      <w:r>
        <w:rPr>
          <w:color w:val="000000"/>
        </w:rPr>
        <w:t xml:space="preserve"> calculations. Value-at-risk is a shorthand term for a system that measures the potential loss in the value of a portfolio of financial instruments over a specified time period, typically one day, with a given probability, and a subject which is covered in some depth in chapter 10. For portfolios that include electricity derivatives, incorporation of gapping prices is of critical importance to insure a necessary degree of realism</w:t>
      </w:r>
      <w:r>
        <w:rPr>
          <w:rStyle w:val="EndnoteCharacters"/>
          <w:rStyle w:val="EndnoteReference"/>
          <w:color w:val="000000"/>
        </w:rPr>
        <w:endnoteReference w:customMarkFollows="1" w:id="2"/>
        <w:t>1</w:t>
      </w:r>
      <w:r>
        <w:rPr>
          <w:rStyle w:val="EndnoteCharacters"/>
          <w:color w:val="000000"/>
        </w:rPr>
        <w:t>4</w:t>
      </w:r>
      <w:r>
        <w:rPr>
          <w:color w:val="000000"/>
        </w:rPr>
        <w:t>.  The degree to which empirical distributions may diverge from theoretical distributions can be assessed comparing the third and fourth moments of the empirical distributions with the theoretical levels (both equal to zero).</w:t>
      </w:r>
    </w:p>
    <w:p>
      <w:pPr>
        <w:pStyle w:val="Normal"/>
        <w:rPr>
          <w:color w:val="000000"/>
        </w:rPr>
      </w:pPr>
      <w:r>
        <w:rPr>
          <w:color w:val="000000"/>
        </w:rPr>
      </w:r>
    </w:p>
    <w:p>
      <w:pPr>
        <w:pStyle w:val="Normal"/>
        <w:rPr>
          <w:color w:val="000000"/>
        </w:rPr>
      </w:pPr>
      <w:r>
        <w:rPr>
          <w:color w:val="000000"/>
        </w:rPr>
        <w:t>An alternative explanation for volatility smiles deals with the microstructure of the markets.  In many emerging energy markets, insufficient liquidity or lack of complete markets does not allow for effective delta hedging.  This means that the supply of options comes either from the trading institutions with exceptionally efficient trading operations or from the organizations that can mitigate the risk of financial options using positions in physical assets.  For example, power generators can sell call options on electricity, treating them as covered calls: if an option is exercised an idle unit may be turned on to deliver into the contract.  The buyers see out-of-the money options as disaster insurance.  This reduces the supply of options relative to demand and increases their prices.  This is reflected in turn in implied volatility higher than the volatility for at the money options.</w:t>
      </w:r>
    </w:p>
    <w:p>
      <w:pPr>
        <w:pStyle w:val="Normal"/>
        <w:rPr>
          <w:color w:val="000000"/>
        </w:rPr>
      </w:pPr>
      <w:r>
        <w:rPr>
          <w:color w:val="000000"/>
        </w:rPr>
      </w:r>
    </w:p>
    <w:p>
      <w:pPr>
        <w:pStyle w:val="Heading2"/>
        <w:ind w:hanging="0" w:start="0"/>
        <w:rPr>
          <w:color w:val="000000"/>
        </w:rPr>
      </w:pPr>
      <w:r>
        <w:rPr>
          <w:color w:val="000000"/>
        </w:rPr>
        <w:t>3.4</w:t>
        <w:tab/>
        <w:t>Stochastic Volatility Models</w:t>
      </w:r>
    </w:p>
    <w:p>
      <w:pPr>
        <w:pStyle w:val="Normal"/>
        <w:rPr>
          <w:color w:val="000000"/>
        </w:rPr>
      </w:pPr>
      <w:r>
        <w:rPr>
          <w:color w:val="000000"/>
        </w:rPr>
      </w:r>
    </w:p>
    <w:p>
      <w:pPr>
        <w:pStyle w:val="Normal"/>
        <w:rPr/>
      </w:pPr>
      <w:r>
        <w:rPr/>
        <w:t xml:space="preserve">In section 2.5 the authors introduced the concept of stochastic volatility models for energy price evolution.  Recall that a simple model that yields spot price return distributions that exhibit skews has a stochastic term that can be generalised as </w:t>
      </w:r>
      <w:r>
        <w:rPr/>
      </w:r>
      <m:oMath xmlns:m="http://schemas.openxmlformats.org/officeDocument/2006/math">
        <m:sSup>
          <m:e>
            <m:r>
              <m:t xml:space="preserve">σS</m:t>
            </m:r>
          </m:e>
          <m:sup>
            <m:r>
              <m:t xml:space="preserve">γ</m:t>
            </m:r>
          </m:sup>
        </m:sSup>
        <m:r>
          <m:rPr>
            <m:lit/>
            <m:nor/>
          </m:rPr>
          <m:t xml:space="preserve">dz</m:t>
        </m:r>
      </m:oMath>
      <w:r>
        <w:rPr/>
        <w:t xml:space="preserve">, where </w:t>
      </w:r>
      <w:r>
        <w:rPr>
          <w:rFonts w:eastAsia="Symbol" w:cs="Symbol" w:ascii="Symbol" w:hAnsi="Symbol"/>
          <w:color w:val="000000"/>
        </w:rPr>
        <w:sym w:font="Symbol" w:char="f067"/>
      </w:r>
      <w:r>
        <w:rPr>
          <w:color w:val="000000"/>
        </w:rPr>
        <w:t xml:space="preserve"> is between 0 and 1.  Any dependence on price is factored out, and the volatility term </w:t>
      </w:r>
      <w:r>
        <w:rPr>
          <w:rFonts w:eastAsia="Symbol" w:cs="Symbol" w:ascii="Symbol" w:hAnsi="Symbol"/>
          <w:color w:val="000000"/>
        </w:rPr>
        <w:sym w:font="Symbol" w:char="f073"/>
      </w:r>
      <w:r>
        <w:rPr>
          <w:color w:val="000000"/>
        </w:rPr>
        <w:t xml:space="preserve"> is explicitly a constant with respect to time.  When a process assumes constant volatility, it is said to be homoskedastic. When volatility varies in time, whether deterministically or randomly, the process is termed heteroskedastic. Part of the appeal of constant-volatility models is their mathematical tractability and relative ease of estimation. There is no mathematical reason, however, that requires volatility to be a constant, and indeed many commodity markets exhibit time varying volatility.  For example, figure 3.1 shows the 30-day rolling volatility for Californian average daily PX prices from April 1, 1998 until May 31, 2000, and clearly suggests a price volatility that is not constant but rather is best described by a process with both periodic and stochastic terms.</w:t>
      </w:r>
    </w:p>
    <w:p>
      <w:pPr>
        <w:pStyle w:val="Normal"/>
        <w:rPr>
          <w:color w:val="000000"/>
        </w:rPr>
      </w:pPr>
      <w:r>
        <w:rPr>
          <w:color w:val="000000"/>
        </w:rPr>
      </w:r>
    </w:p>
    <w:p>
      <w:pPr>
        <w:pStyle w:val="Heading4"/>
        <w:ind w:hanging="180" w:start="0" w:end="0"/>
        <w:jc w:val="center"/>
        <w:rPr/>
      </w:pPr>
      <w:bookmarkStart w:id="0" w:name="_Ref486043038"/>
      <w:r>
        <w:rPr>
          <w:color w:val="000000"/>
        </w:rPr>
        <w:t>Figure 3.1</w:t>
      </w:r>
      <w:bookmarkEnd w:id="0"/>
      <w:r>
        <w:rPr>
          <w:color w:val="000000"/>
          <w:lang w:val="en-CA" w:eastAsia="en-CA"/>
        </w:rPr>
        <w:t xml:space="preserve"> 30-Day Rolling Annualized Volatility</w:t>
      </w:r>
    </w:p>
    <w:p>
      <w:pPr>
        <w:pStyle w:val="Heading4"/>
        <w:ind w:hanging="180" w:start="0" w:end="0"/>
        <w:jc w:val="center"/>
        <w:rPr>
          <w:color w:val="000000"/>
        </w:rPr>
      </w:pPr>
      <w:r>
        <w:rPr>
          <w:color w:val="000000"/>
          <w:lang w:val="en-CA" w:eastAsia="en-CA"/>
        </w:rPr>
        <w:t>Californian Day-Ahead Average PX Price (April 1, 1998 - May 31, 2000)</w:t>
      </w:r>
    </w:p>
    <w:p>
      <w:pPr>
        <w:pStyle w:val="Normal"/>
        <w:jc w:val="center"/>
        <w:rPr>
          <w:color w:val="000000"/>
        </w:rPr>
      </w:pPr>
      <w:bookmarkStart w:id="1" w:name="_1023543614"/>
      <w:bookmarkStart w:id="2" w:name="_1022913888"/>
      <w:bookmarkEnd w:id="1"/>
      <w:bookmarkEnd w:id="2"/>
      <w:r>
        <w:rPr>
          <w:color w:val="000000"/>
        </w:rPr>
        <w:object w:dxaOrig="15360" w:dyaOrig="117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0.8pt;height:284.15pt" filled="f" o:ole="">
            <v:imagedata r:id="rId3" o:title=""/>
          </v:shape>
          <o:OLEObject Type="Embed" ProgID="Excel.Sheet.12" ShapeID="ole_rId2" DrawAspect="Content" ObjectID="_1325599488" r:id="rId2"/>
        </w:object>
      </w:r>
    </w:p>
    <w:p>
      <w:pPr>
        <w:pStyle w:val="Header"/>
        <w:tabs>
          <w:tab w:val="clear" w:pos="4320"/>
          <w:tab w:val="clear" w:pos="8640"/>
        </w:tabs>
        <w:rPr>
          <w:color w:val="000000"/>
        </w:rPr>
      </w:pPr>
      <w:r>
        <w:rPr>
          <w:color w:val="000000"/>
        </w:rPr>
      </w:r>
    </w:p>
    <w:p>
      <w:pPr>
        <w:pStyle w:val="Normal"/>
        <w:rPr>
          <w:color w:val="000000"/>
        </w:rPr>
      </w:pPr>
      <w:r>
        <w:rPr>
          <w:color w:val="000000"/>
        </w:rPr>
        <w:t>The simplest heteroskedastic extension to the standard diffusion price process is to assume a volatility that is deterministically time dependent.  Forward contract price dynamics, often modelled as a smoothly decreasing function of time to contract expiration, and treated in detail in chapter 8, are a good example of this type of behaviour.</w:t>
      </w:r>
    </w:p>
    <w:p>
      <w:pPr>
        <w:pStyle w:val="Normal"/>
        <w:rPr>
          <w:color w:val="000000"/>
        </w:rPr>
      </w:pPr>
      <w:r>
        <w:rPr>
          <w:color w:val="000000"/>
        </w:rPr>
      </w:r>
    </w:p>
    <w:p>
      <w:pPr>
        <w:pStyle w:val="Normal"/>
        <w:rPr>
          <w:color w:val="000000"/>
        </w:rPr>
      </w:pPr>
      <w:r>
        <w:rPr>
          <w:color w:val="000000"/>
        </w:rPr>
        <w:t>The simplest case of stochastic volatility is, however, when the variance is itself cast as a diffusion process and we saw an example of this in section 2.5 with the Hull-White mean reverting model represented by equations (2.10) and (2.11):</w:t>
      </w:r>
    </w:p>
    <w:p>
      <w:pPr>
        <w:pStyle w:val="Normal"/>
        <w:rPr>
          <w:color w:val="000000"/>
        </w:rPr>
      </w:pPr>
      <w:r>
        <w:rPr>
          <w:color w:val="000000"/>
        </w:rPr>
      </w:r>
    </w:p>
    <w:p>
      <w:pPr>
        <w:pStyle w:val="Normal"/>
        <w:rPr>
          <w:color w:val="000000"/>
        </w:rPr>
      </w:pPr>
      <w:r>
        <w:rPr>
          <w:color w:val="000000"/>
        </w:rPr>
        <w:t>As noted in the previous section, energy commodity price return distributions tend to be leptokurtic or fat tailed.  Some commodities, such as crude oil, also exhibit volatility clustering.  These behaviours are consistent with a process where the volatility at a given point in time depends on the past history of volatility; that is to say the volatility is autoregressive.  Such behaviour is not unique to energy prices but has been observed in many other economic and financial settings.  As a result, there is a large class of stochastic volatility models, widely used in the econometric community, which go by the generic name of Autoregressive Conditional Heteroskedastic or, less formidably, ARCH models.  First proposed by Engle (1982) to model volatility in inflation, ARCH models have been successfully applied in many different areas of finance such as interest rates, foreign exchange, and equities.  Variations on the basic concept are myriad and the literature on the subject is extensive.  See Bollerslev (1992) for a review.</w:t>
      </w:r>
    </w:p>
    <w:p>
      <w:pPr>
        <w:pStyle w:val="Normal"/>
        <w:rPr>
          <w:color w:val="000000"/>
        </w:rPr>
      </w:pPr>
      <w:r>
        <w:rPr>
          <w:color w:val="000000"/>
        </w:rPr>
      </w:r>
    </w:p>
    <w:p>
      <w:pPr>
        <w:pStyle w:val="Normal"/>
        <w:rPr>
          <w:color w:val="000000"/>
        </w:rPr>
      </w:pPr>
      <w:r>
        <w:rPr>
          <w:color w:val="000000"/>
        </w:rPr>
        <w:t>In ARCH models, asset price returns are written as,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y</m:t>
        </m:r>
        <m:r>
          <m:t xml:space="preserve">=</m:t>
        </m:r>
        <m:r>
          <m:rPr>
            <m:lit/>
            <m:nor/>
          </m:rPr>
          <m:t xml:space="preserve">ln</m:t>
        </m:r>
        <m:d>
          <m:dPr>
            <m:begChr m:val="("/>
            <m:endChr m:val=")"/>
          </m:dPr>
          <m:e>
            <m:f>
              <m:num>
                <m:sSub>
                  <m:e>
                    <m:r>
                      <m:t xml:space="preserve">S</m:t>
                    </m:r>
                  </m:e>
                  <m:sub>
                    <m:r>
                      <m:t xml:space="preserve">t</m:t>
                    </m:r>
                  </m:sub>
                </m:sSub>
              </m:num>
              <m:den>
                <m:sSub>
                  <m:e>
                    <m:r>
                      <m:t xml:space="preserve">S</m:t>
                    </m:r>
                  </m:e>
                  <m:sub>
                    <m:r>
                      <m:t xml:space="preserve">t</m:t>
                    </m:r>
                    <m:r>
                      <m:t xml:space="preserve">−</m:t>
                    </m:r>
                    <m:r>
                      <m:t xml:space="preserve">1</m:t>
                    </m:r>
                  </m:sub>
                </m:sSub>
              </m:den>
            </m:f>
          </m:e>
        </m:d>
        <m:r>
          <m:t xml:space="preserve">=</m:t>
        </m:r>
        <m:r>
          <m:t xml:space="preserve">k</m:t>
        </m:r>
        <m:r>
          <m:t xml:space="preserve">+</m:t>
        </m:r>
        <m:sSub>
          <m:e>
            <m:r>
              <m:t xml:space="preserve">u</m:t>
            </m:r>
          </m:e>
          <m:sub>
            <m:r>
              <m:t xml:space="preserve">t</m:t>
            </m:r>
          </m:sub>
        </m:sSub>
      </m:oMath>
      <w:r>
        <w:rPr>
          <w:color w:val="000000"/>
        </w:rPr>
        <w:tab/>
        <w:t>(3.13)</w:t>
      </w:r>
    </w:p>
    <w:p>
      <w:pPr>
        <w:pStyle w:val="Normal"/>
        <w:rPr>
          <w:color w:val="000000"/>
        </w:rPr>
      </w:pPr>
      <w:r>
        <w:rPr>
          <w:color w:val="000000"/>
        </w:rPr>
      </w:r>
    </w:p>
    <w:p>
      <w:pPr>
        <w:pStyle w:val="Normal"/>
        <w:rPr>
          <w:color w:val="000000"/>
        </w:rPr>
      </w:pPr>
      <w:r>
        <w:rPr>
          <w:color w:val="000000"/>
        </w:rPr>
        <w:t xml:space="preserve">Where </w:t>
      </w:r>
      <w:r>
        <w:rPr>
          <w:i/>
          <w:iCs/>
          <w:color w:val="000000"/>
        </w:rPr>
        <w:t>k</w:t>
      </w:r>
      <w:r>
        <w:rPr>
          <w:color w:val="000000"/>
        </w:rPr>
        <w:t xml:space="preserve"> is a constant mean term, </w:t>
      </w:r>
      <w:r>
        <w:rPr>
          <w:color w:val="000000"/>
        </w:rPr>
      </w:r>
      <m:oMath xmlns:m="http://schemas.openxmlformats.org/officeDocument/2006/math">
        <m:sSub>
          <m:e>
            <m:r>
              <m:t xml:space="preserve">u</m:t>
            </m:r>
          </m:e>
          <m:sub>
            <m:r>
              <m:t xml:space="preserve">t</m:t>
            </m:r>
          </m:sub>
        </m:sSub>
        <m:r>
          <m:t xml:space="preserve">=</m:t>
        </m:r>
        <m:sSub>
          <m:e>
            <m:r>
              <m:t xml:space="preserve">σ</m:t>
            </m:r>
          </m:e>
          <m:sub>
            <m:r>
              <m:t xml:space="preserve">t</m:t>
            </m:r>
          </m:sub>
        </m:sSub>
        <m:sSub>
          <m:e>
            <m:r>
              <m:t xml:space="preserve">ε</m:t>
            </m:r>
          </m:e>
          <m:sub>
            <m:r>
              <m:t xml:space="preserve">t</m:t>
            </m:r>
          </m:sub>
        </m:sSub>
      </m:oMath>
      <w:r>
        <w:rPr>
          <w:color w:val="000000"/>
        </w:rPr>
        <w:t>, and</w:t>
      </w:r>
      <w:r>
        <w:rPr>
          <w:color w:val="000000"/>
        </w:rPr>
      </w:r>
      <m:oMath xmlns:m="http://schemas.openxmlformats.org/officeDocument/2006/math">
        <m:sSub>
          <m:e>
            <m:r>
              <m:t xml:space="preserve">ε</m:t>
            </m:r>
          </m:e>
          <m:sub>
            <m:r>
              <m:t xml:space="preserve">t</m:t>
            </m:r>
          </m:sub>
        </m:sSub>
      </m:oMath>
      <w:r>
        <w:rPr>
          <w:color w:val="000000"/>
        </w:rPr>
        <w:t>is a normally distributed random shock, that is to say</w:t>
      </w:r>
      <w:r>
        <w:rPr>
          <w:color w:val="000000"/>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000000"/>
        </w:rPr>
        <w:t xml:space="preserve">.  In econometrics, the term </w:t>
      </w:r>
      <w:r>
        <w:rPr>
          <w:i/>
          <w:iCs/>
          <w:color w:val="000000"/>
        </w:rPr>
        <w:t>u</w:t>
      </w:r>
      <w:r>
        <w:rPr>
          <w:i/>
          <w:iCs/>
          <w:color w:val="000000"/>
          <w:vertAlign w:val="subscript"/>
        </w:rPr>
        <w:t>t</w:t>
      </w:r>
      <w:r>
        <w:rPr>
          <w:color w:val="000000"/>
        </w:rPr>
        <w:t xml:space="preserve"> is referred to as the innovation at time </w:t>
      </w:r>
      <w:r>
        <w:rPr>
          <w:i/>
          <w:iCs/>
          <w:color w:val="000000"/>
        </w:rPr>
        <w:t>t</w:t>
      </w:r>
      <w:r>
        <w:rPr>
          <w:color w:val="000000"/>
        </w:rPr>
        <w:t xml:space="preserve">.  Now the essential feature of ARCH is to make the innovation variance at time </w:t>
      </w:r>
      <w:r>
        <w:rPr>
          <w:i/>
          <w:iCs/>
          <w:color w:val="000000"/>
        </w:rPr>
        <w:t>t</w:t>
      </w:r>
      <w:r>
        <w:rPr>
          <w:color w:val="000000"/>
        </w:rPr>
        <w:t xml:space="preserve"> conditional on previously realized innovations.  For example a </w:t>
      </w:r>
      <w:r>
        <w:rPr>
          <w:bCs/>
          <w:color w:val="000000"/>
        </w:rPr>
        <w:t>ARCH(</w:t>
      </w:r>
      <w:r>
        <w:rPr>
          <w:bCs/>
          <w:i/>
          <w:iCs/>
          <w:color w:val="000000"/>
        </w:rPr>
        <w:t>q</w:t>
      </w:r>
      <w:r>
        <w:rPr>
          <w:bCs/>
          <w:color w:val="000000"/>
        </w:rPr>
        <w:t>) model would be represented as;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u</m:t>
            </m:r>
          </m:e>
          <m:sub>
            <m:r>
              <m:t xml:space="preserve">t</m:t>
            </m:r>
            <m:r>
              <m:t xml:space="preserve">−</m:t>
            </m:r>
            <m:r>
              <m:t xml:space="preserve">2</m:t>
            </m:r>
          </m:sub>
          <m:sup>
            <m:r>
              <m:t xml:space="preserve">2</m:t>
            </m:r>
          </m:sup>
        </m:sSubSup>
        <m:r>
          <m:t xml:space="preserve">+</m:t>
        </m:r>
        <m:r>
          <m:t xml:space="preserve">…</m:t>
        </m:r>
        <m:r>
          <m:t xml:space="preserve">+</m:t>
        </m:r>
        <m:sSub>
          <m:e>
            <m:r>
              <m:t xml:space="preserve">α</m:t>
            </m:r>
          </m:e>
          <m:sub>
            <m:r>
              <m:t xml:space="preserve">q</m:t>
            </m:r>
          </m:sub>
        </m:sSub>
        <m:sSubSup>
          <m:e>
            <m:r>
              <m:t xml:space="preserve">u</m:t>
            </m:r>
          </m:e>
          <m:sub>
            <m:r>
              <m:t xml:space="preserve">t</m:t>
            </m:r>
            <m:r>
              <m:t xml:space="preserve">−</m:t>
            </m:r>
            <m:r>
              <m:t xml:space="preserve">q</m:t>
            </m:r>
          </m:sub>
          <m:sup>
            <m:r>
              <m:t xml:space="preserve">2</m:t>
            </m:r>
          </m:sup>
        </m:sSubSup>
      </m:oMath>
      <w:r>
        <w:rPr>
          <w:color w:val="000000"/>
        </w:rPr>
        <w:tab/>
        <w:t>(3.14)</w:t>
      </w:r>
    </w:p>
    <w:p>
      <w:pPr>
        <w:pStyle w:val="Normal"/>
        <w:rPr>
          <w:color w:val="000000"/>
        </w:rPr>
      </w:pPr>
      <w:r>
        <w:rPr>
          <w:color w:val="000000"/>
        </w:rPr>
      </w:r>
    </w:p>
    <w:p>
      <w:pPr>
        <w:pStyle w:val="Normal"/>
        <w:rPr/>
      </w:pPr>
      <w:r>
        <w:rPr>
          <w:color w:val="000000"/>
        </w:rPr>
        <w:t xml:space="preserve">Equation (3.14) represents an autoregressive model of conditional volatility; hence the name ARCH.  The order of the equation, </w:t>
      </w:r>
      <w:r>
        <w:rPr>
          <w:i/>
          <w:iCs/>
          <w:color w:val="000000"/>
        </w:rPr>
        <w:t>q</w:t>
      </w:r>
      <w:r>
        <w:rPr>
          <w:color w:val="000000"/>
        </w:rPr>
        <w:t xml:space="preserve">, is of course arbitrary.  In practical applications however, models with several terms are often required in order to capture the “decaying memory” of volatility.  To incorporate this feature in a more parsimonious way, Bollerslev (1986) developed a generalized ARCH, or GARCH, model.  Here the variance equation includes both past innovations (of order </w:t>
      </w:r>
      <w:r>
        <w:rPr>
          <w:i/>
          <w:iCs/>
          <w:color w:val="000000"/>
        </w:rPr>
        <w:t>q</w:t>
      </w:r>
      <w:r>
        <w:rPr>
          <w:color w:val="000000"/>
        </w:rPr>
        <w:t xml:space="preserve">) and past conditional variances (of order </w:t>
      </w:r>
      <w:r>
        <w:rPr>
          <w:i/>
          <w:iCs/>
          <w:color w:val="000000"/>
        </w:rPr>
        <w:t>p</w:t>
      </w:r>
      <w:r>
        <w:rPr>
          <w:color w:val="000000"/>
        </w:rPr>
        <w:t>), termed a GARCH(</w:t>
      </w:r>
      <w:r>
        <w:rPr>
          <w:i/>
          <w:iCs/>
          <w:color w:val="000000"/>
        </w:rPr>
        <w:t>p</w:t>
      </w:r>
      <w:r>
        <w:rPr>
          <w:color w:val="000000"/>
        </w:rPr>
        <w:t xml:space="preserve">, </w:t>
      </w:r>
      <w:r>
        <w:rPr>
          <w:i/>
          <w:iCs/>
          <w:color w:val="000000"/>
        </w:rPr>
        <w:t>q</w:t>
      </w:r>
      <w:r>
        <w:rPr>
          <w:color w:val="000000"/>
        </w:rPr>
        <w:t>) model;</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nary>
          <m:naryPr>
            <m:chr m:val="∑"/>
          </m:naryPr>
          <m:sub>
            <m:r>
              <m:t xml:space="preserve">i</m:t>
            </m:r>
            <m:r>
              <m:t xml:space="preserve">=</m:t>
            </m:r>
            <m:r>
              <m:t xml:space="preserve">1</m:t>
            </m:r>
          </m:sub>
          <m:sup>
            <m:r>
              <m:t xml:space="preserve">q</m:t>
            </m:r>
          </m:sup>
          <m:e>
            <m:sSub>
              <m:e>
                <m:r>
                  <m:t xml:space="preserve">α</m:t>
                </m:r>
              </m:e>
              <m:sub>
                <m:r>
                  <m:t xml:space="preserve">i</m:t>
                </m:r>
              </m:sub>
            </m:sSub>
            <m:sSubSup>
              <m:e>
                <m:r>
                  <m:t xml:space="preserve">u</m:t>
                </m:r>
              </m:e>
              <m:sub>
                <m:r>
                  <m:t xml:space="preserve">t</m:t>
                </m:r>
                <m:r>
                  <m:t xml:space="preserve">−</m:t>
                </m:r>
                <m:r>
                  <m:t xml:space="preserve">i</m:t>
                </m:r>
              </m:sub>
              <m:sup>
                <m:r>
                  <m:t xml:space="preserve">2</m:t>
                </m:r>
              </m:sup>
            </m:sSubSup>
          </m:e>
        </m:nary>
        <m:r>
          <m:t xml:space="preserve">+</m:t>
        </m:r>
        <m:nary>
          <m:naryPr>
            <m:chr m:val="∑"/>
          </m:naryPr>
          <m:sub>
            <m:r>
              <m:t xml:space="preserve">i</m:t>
            </m:r>
            <m:r>
              <m:t xml:space="preserve">=</m:t>
            </m:r>
            <m:r>
              <m:t xml:space="preserve">1</m:t>
            </m:r>
          </m:sub>
          <m:sup>
            <m:r>
              <m:t xml:space="preserve">p</m:t>
            </m:r>
          </m:sup>
          <m:e>
            <m:sSub>
              <m:e>
                <m:r>
                  <m:t xml:space="preserve">β</m:t>
                </m:r>
              </m:e>
              <m:sub>
                <m:r>
                  <m:t xml:space="preserve">i</m:t>
                </m:r>
              </m:sub>
            </m:sSub>
            <m:sSubSup>
              <m:e>
                <m:r>
                  <m:t xml:space="preserve">σ</m:t>
                </m:r>
              </m:e>
              <m:sub>
                <m:r>
                  <m:t xml:space="preserve">t</m:t>
                </m:r>
                <m:r>
                  <m:t xml:space="preserve">−</m:t>
                </m:r>
                <m:r>
                  <m:t xml:space="preserve">i</m:t>
                </m:r>
              </m:sub>
              <m:sup>
                <m:r>
                  <m:t xml:space="preserve">2</m:t>
                </m:r>
              </m:sup>
            </m:sSubSup>
          </m:e>
        </m:nary>
      </m:oMath>
      <w:r>
        <w:rPr>
          <w:color w:val="000000"/>
        </w:rPr>
        <w:tab/>
        <w:t>(3.15)</w:t>
      </w:r>
    </w:p>
    <w:p>
      <w:pPr>
        <w:pStyle w:val="Normal"/>
        <w:rPr>
          <w:color w:val="000000"/>
        </w:rPr>
      </w:pPr>
      <w:r>
        <w:rPr>
          <w:color w:val="000000"/>
        </w:rPr>
      </w:r>
    </w:p>
    <w:p>
      <w:pPr>
        <w:pStyle w:val="Normal"/>
        <w:rPr/>
      </w:pPr>
      <w:r>
        <w:rPr>
          <w:color w:val="000000"/>
        </w:rPr>
        <w:t xml:space="preserve">Note that because the equation is recursive in variance, </w:t>
      </w:r>
      <w:r>
        <w:rPr>
          <w:rFonts w:eastAsia="Symbol" w:cs="Symbol" w:ascii="Symbol" w:hAnsi="Symbol"/>
          <w:color w:val="000000"/>
        </w:rPr>
        <w:sym w:font="Symbol" w:char="f073"/>
      </w:r>
      <w:r>
        <w:rPr>
          <w:i/>
          <w:iCs/>
          <w:color w:val="000000"/>
          <w:vertAlign w:val="subscript"/>
        </w:rPr>
        <w:t>t</w:t>
      </w:r>
      <w:r>
        <w:rPr>
          <w:color w:val="000000"/>
        </w:rPr>
        <w:t xml:space="preserve"> will effectively depend on all innovations.  As a result, a GARCH model with few terms will often fit a data set as well as an ARCH model of much higher order.  In practice, a first order GARCH(1,1) is often quite adequate.</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w:r>
        <w:rPr>
          <w:color w:val="000000"/>
        </w:rPr>
        <w:tab/>
        <w:t>(3.16)</w:t>
      </w:r>
    </w:p>
    <w:p>
      <w:pPr>
        <w:pStyle w:val="Normal"/>
        <w:rPr>
          <w:color w:val="000000"/>
        </w:rPr>
      </w:pPr>
      <w:r>
        <w:rPr>
          <w:color w:val="000000"/>
        </w:rPr>
      </w:r>
    </w:p>
    <w:p>
      <w:pPr>
        <w:pStyle w:val="Normal"/>
        <w:rPr>
          <w:color w:val="000000"/>
        </w:rPr>
      </w:pPr>
      <w:r>
        <w:rPr>
          <w:color w:val="000000"/>
        </w:rPr>
        <w:t>By expanding the recursive terms in equation (3.16) we see that it is indeed equivalent to a simple sum of past innovations with a geometrical weighting of the terms.</w:t>
      </w:r>
    </w:p>
    <w:p>
      <w:pPr>
        <w:pStyle w:val="Normal"/>
        <w:rPr>
          <w:color w:val="000000"/>
        </w:rPr>
      </w:pPr>
      <w:r>
        <w:rPr>
          <w:color w:val="000000"/>
        </w:rPr>
      </w:r>
      <w:bookmarkStart w:id="3" w:name="_Ref486089347"/>
      <w:bookmarkStart w:id="4" w:name="_Ref486089347"/>
      <w:bookmarkEnd w:id="4"/>
    </w:p>
    <w:p>
      <w:pPr>
        <w:pStyle w:val="Equation"/>
        <w:rPr/>
      </w:pPr>
      <w:r>
        <w:rPr>
          <w:i/>
          <w:color w:val="000000"/>
        </w:rPr>
        <w:tab/>
      </w:r>
      <w:r>
        <w:rPr>
          <w:color w:val="000000"/>
        </w:rPr>
      </w:r>
      <m:oMath xmlns:m="http://schemas.openxmlformats.org/officeDocument/2006/math">
        <m:sSubSup>
          <m:e>
            <m:r>
              <m:t xml:space="preserve">σ</m:t>
            </m:r>
          </m:e>
          <m:sub>
            <m:r>
              <m:t xml:space="preserve">t</m:t>
            </m:r>
          </m:sub>
          <m:sup>
            <m:r>
              <m:t xml:space="preserve">2</m:t>
            </m:r>
          </m:sup>
        </m:sSubSup>
        <m:r>
          <m:t xml:space="preserve">=</m:t>
        </m:r>
        <m:f>
          <m:num>
            <m:sSub>
              <m:e>
                <m:r>
                  <m:t xml:space="preserve">α</m:t>
                </m:r>
              </m:e>
              <m:sub>
                <m:r>
                  <m:t xml:space="preserve">0</m:t>
                </m:r>
              </m:sub>
            </m:sSub>
          </m:num>
          <m:den>
            <m:r>
              <m:t xml:space="preserve">1</m:t>
            </m:r>
            <m:r>
              <m:t xml:space="preserve">−</m:t>
            </m:r>
            <m:sSub>
              <m:e>
                <m:r>
                  <m:t xml:space="preserve">β</m:t>
                </m:r>
              </m:e>
              <m:sub>
                <m:r>
                  <m:t xml:space="preserve">1</m:t>
                </m:r>
              </m:sub>
            </m:sSub>
          </m:den>
        </m:f>
        <m:r>
          <m:t xml:space="preserve">+</m:t>
        </m:r>
        <m:nary>
          <m:naryPr>
            <m:chr m:val="∑"/>
          </m:naryPr>
          <m:sub>
            <m:r>
              <m:t xml:space="preserve">i</m:t>
            </m:r>
            <m:r>
              <m:t xml:space="preserve">=</m:t>
            </m:r>
            <m:r>
              <m:t xml:space="preserve">1</m:t>
            </m:r>
          </m:sub>
          <m:sup>
            <m:r>
              <m:t xml:space="preserve">∞</m:t>
            </m:r>
          </m:sup>
          <m:e>
            <m:sSub>
              <m:e>
                <m:r>
                  <m:t xml:space="preserve">α</m:t>
                </m:r>
              </m:e>
              <m:sub>
                <m:r>
                  <m:t xml:space="preserve">1</m:t>
                </m:r>
              </m:sub>
            </m:sSub>
            <m:sSubSup>
              <m:e>
                <m:r>
                  <m:t xml:space="preserve">β</m:t>
                </m:r>
              </m:e>
              <m:sub>
                <m:r>
                  <m:t xml:space="preserve">1</m:t>
                </m:r>
              </m:sub>
              <m:sup>
                <m:r>
                  <m:t xml:space="preserve">i</m:t>
                </m:r>
                <m:r>
                  <m:t xml:space="preserve">−</m:t>
                </m:r>
                <m:r>
                  <m:t xml:space="preserve">1</m:t>
                </m:r>
              </m:sup>
            </m:sSubSup>
            <m:sSubSup>
              <m:e>
                <m:r>
                  <m:t xml:space="preserve">u</m:t>
                </m:r>
              </m:e>
              <m:sub>
                <m:r>
                  <m:t xml:space="preserve">t</m:t>
                </m:r>
                <m:r>
                  <m:t xml:space="preserve">−</m:t>
                </m:r>
                <m:r>
                  <m:t xml:space="preserve">i</m:t>
                </m:r>
              </m:sub>
              <m:sup>
                <m:r>
                  <m:t xml:space="preserve">2</m:t>
                </m:r>
              </m:sup>
            </m:sSubSup>
          </m:e>
        </m:nary>
      </m:oMath>
      <w:r>
        <w:rPr>
          <w:color w:val="000000"/>
        </w:rPr>
        <w:t xml:space="preserve">     if </w:t>
      </w:r>
      <w:r>
        <w:rPr>
          <w:rFonts w:eastAsia="Symbol" w:cs="Symbol" w:ascii="Symbol" w:hAnsi="Symbol"/>
          <w:color w:val="000000"/>
        </w:rPr>
        <w:sym w:font="Symbol" w:char="f062"/>
      </w:r>
      <w:r>
        <w:rPr>
          <w:color w:val="000000"/>
          <w:vertAlign w:val="subscript"/>
        </w:rPr>
        <w:t>1</w:t>
      </w:r>
      <w:r>
        <w:rPr>
          <w:color w:val="000000"/>
        </w:rPr>
        <w:t xml:space="preserve"> &lt; 1.</w:t>
        <w:tab/>
        <w:t>(3.17)</w:t>
      </w:r>
    </w:p>
    <w:p>
      <w:pPr>
        <w:pStyle w:val="Normal"/>
        <w:rPr>
          <w:color w:val="000000"/>
        </w:rPr>
      </w:pPr>
      <w:r>
        <w:rPr>
          <w:color w:val="000000"/>
        </w:rPr>
      </w:r>
      <w:bookmarkStart w:id="5" w:name="_Ref486089347"/>
      <w:bookmarkStart w:id="6" w:name="_Ref486089347"/>
      <w:bookmarkEnd w:id="6"/>
    </w:p>
    <w:p>
      <w:pPr>
        <w:pStyle w:val="Normal"/>
        <w:rPr>
          <w:color w:val="000000"/>
        </w:rPr>
      </w:pPr>
      <w:r>
        <w:rPr>
          <w:color w:val="000000"/>
        </w:rPr>
        <w:t>Figure 3.2 shows an example of a spot price process with GARCH volatility and clearly shows periods of relative high and low volatility.</w:t>
      </w:r>
    </w:p>
    <w:p>
      <w:pPr>
        <w:pStyle w:val="Normal"/>
        <w:rPr>
          <w:color w:val="000000"/>
        </w:rPr>
      </w:pPr>
      <w:r>
        <w:rPr>
          <w:color w:val="000000"/>
        </w:rPr>
      </w:r>
    </w:p>
    <w:p>
      <w:pPr>
        <w:pStyle w:val="Heading4"/>
        <w:ind w:hanging="270" w:end="0"/>
        <w:jc w:val="center"/>
        <w:rPr>
          <w:color w:val="000000"/>
        </w:rPr>
      </w:pPr>
      <w:bookmarkStart w:id="7" w:name="_Ref486047388"/>
      <w:r>
        <w:rPr>
          <w:color w:val="000000"/>
        </w:rPr>
        <w:t>Figure 3.2</w:t>
      </w:r>
      <w:bookmarkEnd w:id="7"/>
      <w:r>
        <w:rPr>
          <w:color w:val="000000"/>
        </w:rPr>
        <w:t xml:space="preserve"> GARCH(1,1) Model Price Process and 30-day Rolling Annualized Volatility</w:t>
      </w:r>
    </w:p>
    <w:p>
      <w:pPr>
        <w:pStyle w:val="Heading4"/>
        <w:jc w:val="center"/>
        <w:rPr>
          <w:color w:val="000000"/>
        </w:rPr>
      </w:pPr>
      <w:r>
        <w:rPr>
          <w:color w:val="000000"/>
        </w:rPr>
        <w:t>(</w:t>
      </w:r>
      <w:r>
        <w:rPr>
          <w:rFonts w:eastAsia="Symbol" w:cs="Symbol" w:ascii="Symbol" w:hAnsi="Symbol"/>
          <w:color w:val="000000"/>
        </w:rPr>
        <w:sym w:font="Symbol" w:char="f061"/>
      </w:r>
      <w:r>
        <w:rPr>
          <w:color w:val="000000"/>
          <w:vertAlign w:val="subscript"/>
        </w:rPr>
        <w:t>0</w:t>
      </w:r>
      <w:r>
        <w:rPr>
          <w:color w:val="000000"/>
        </w:rPr>
        <w:t xml:space="preserve">=0.0006, </w:t>
      </w:r>
      <w:r>
        <w:rPr>
          <w:rFonts w:eastAsia="Symbol" w:cs="Symbol" w:ascii="Symbol" w:hAnsi="Symbol"/>
          <w:color w:val="000000"/>
        </w:rPr>
        <w:sym w:font="Symbol" w:char="f061"/>
      </w:r>
      <w:r>
        <w:rPr>
          <w:color w:val="000000"/>
          <w:vertAlign w:val="subscript"/>
        </w:rPr>
        <w:t>1</w:t>
      </w:r>
      <w:r>
        <w:rPr>
          <w:color w:val="000000"/>
        </w:rPr>
        <w:t xml:space="preserve"> = 0.30, </w:t>
      </w:r>
      <w:r>
        <w:rPr>
          <w:rFonts w:eastAsia="Symbol" w:cs="Symbol" w:ascii="Symbol" w:hAnsi="Symbol"/>
          <w:color w:val="000000"/>
        </w:rPr>
        <w:sym w:font="Symbol" w:char="f062"/>
      </w:r>
      <w:r>
        <w:rPr>
          <w:color w:val="000000"/>
          <w:vertAlign w:val="subscript"/>
        </w:rPr>
        <w:t>1</w:t>
      </w:r>
      <w:r>
        <w:rPr>
          <w:color w:val="000000"/>
        </w:rPr>
        <w:t>=0.60)</w:t>
      </w:r>
    </w:p>
    <w:p>
      <w:pPr>
        <w:pStyle w:val="Normal"/>
        <w:jc w:val="center"/>
        <w:rPr>
          <w:color w:val="000000"/>
        </w:rPr>
      </w:pPr>
      <w:bookmarkStart w:id="8" w:name="_1023543793"/>
      <w:bookmarkStart w:id="9" w:name="_1022918364"/>
      <w:bookmarkEnd w:id="8"/>
      <w:bookmarkEnd w:id="9"/>
      <w:r>
        <w:rPr>
          <w:color w:val="000000"/>
        </w:rPr>
        <w:object w:dxaOrig="14081" w:dyaOrig="947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4.35pt;height:256.3pt" filled="f" o:ole="">
            <v:imagedata r:id="rId5" o:title=""/>
          </v:shape>
          <o:OLEObject Type="Embed" ProgID="Excel.Sheet.12" ShapeID="ole_rId4" DrawAspect="Content" ObjectID="_313194321" r:id="rId4"/>
        </w:object>
      </w:r>
    </w:p>
    <w:p>
      <w:pPr>
        <w:pStyle w:val="Normal"/>
        <w:rPr>
          <w:color w:val="000000"/>
        </w:rPr>
      </w:pPr>
      <w:r>
        <w:rPr>
          <w:color w:val="000000"/>
        </w:rPr>
      </w:r>
    </w:p>
    <w:p>
      <w:pPr>
        <w:pStyle w:val="Normal"/>
        <w:rPr/>
      </w:pPr>
      <w:r>
        <w:rPr>
          <w:color w:val="000000"/>
        </w:rPr>
        <w:t xml:space="preserve">Figure 3.3 shows the frequency distribution of returns together with a superimposed normal distribution fitted from the data.  The superimposed normal distribution has a mean and standard deviation that are derived from the log return data.  As expected, the GARCH model is leptokurtic. </w:t>
      </w:r>
    </w:p>
    <w:p>
      <w:pPr>
        <w:pStyle w:val="Normal"/>
        <w:rPr>
          <w:color w:val="000000"/>
        </w:rPr>
      </w:pPr>
      <w:r>
        <w:rPr>
          <w:color w:val="000000"/>
        </w:rPr>
      </w:r>
    </w:p>
    <w:p>
      <w:pPr>
        <w:pStyle w:val="Heading4"/>
        <w:jc w:val="center"/>
        <w:rPr>
          <w:color w:val="000000"/>
        </w:rPr>
      </w:pPr>
      <w:bookmarkStart w:id="10" w:name="_Ref486047404"/>
      <w:r>
        <w:rPr>
          <w:color w:val="000000"/>
        </w:rPr>
        <w:t>Figure 3.3</w:t>
      </w:r>
      <w:bookmarkEnd w:id="10"/>
      <w:r>
        <w:rPr>
          <w:color w:val="000000"/>
        </w:rPr>
        <w:t xml:space="preserve"> Frequency Histogram of the Log Daily Price Returns</w:t>
      </w:r>
    </w:p>
    <w:p>
      <w:pPr>
        <w:pStyle w:val="Normal"/>
        <w:jc w:val="center"/>
        <w:rPr>
          <w:color w:val="000000"/>
        </w:rPr>
      </w:pPr>
      <w:bookmarkStart w:id="11" w:name="_1022917143"/>
      <w:bookmarkStart w:id="12" w:name="_1022917110"/>
      <w:bookmarkEnd w:id="11"/>
      <w:bookmarkEnd w:id="12"/>
      <w:r>
        <w:rPr>
          <w:color w:val="000000"/>
        </w:rPr>
        <w:object w:dxaOrig="15360" w:dyaOrig="1177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4.75pt;height:254.85pt" filled="f" o:ole="">
            <v:imagedata r:id="rId7" o:title=""/>
          </v:shape>
          <o:OLEObject Type="Embed" ProgID="Excel.Sheet.12" ShapeID="ole_rId6" DrawAspect="Content" ObjectID="_415262455" r:id="rId6"/>
        </w:object>
      </w:r>
    </w:p>
    <w:p>
      <w:pPr>
        <w:pStyle w:val="Normal"/>
        <w:rPr>
          <w:color w:val="000000"/>
        </w:rPr>
      </w:pPr>
      <w:r>
        <w:rPr>
          <w:color w:val="000000"/>
        </w:rPr>
      </w:r>
    </w:p>
    <w:p>
      <w:pPr>
        <w:pStyle w:val="Normal"/>
        <w:rPr>
          <w:color w:val="000000"/>
        </w:rPr>
      </w:pPr>
      <w:r>
        <w:rPr>
          <w:color w:val="000000"/>
        </w:rPr>
        <w:t>Finally, a criticism of GARCH models has been their symmetry with respect to price movements. A GARCH model is necessarily symmetric; high volatility is associated with large price movements to both the up- and down side.  In many financial markets, including energy commodities, the empirical evidence suggests asymmetrical volatility clustering.  This has led to proposals of nonlinear extensions to GARCH, which attempt to capture this asymmetry.  Exponential GARCH or EGARCH, suggested by Nelson (1991), is one example, and can be represented by the following equation;</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rPr>
            <m:lit/>
            <m:nor/>
          </m:rPr>
          <m:t xml:space="preserve">ln</m:t>
        </m:r>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r>
          <m:t xml:space="preserve">β</m:t>
        </m:r>
        <m:d>
          <m:dPr>
            <m:begChr m:val="|"/>
            <m:endChr m:val="|"/>
          </m:dPr>
          <m:e>
            <m:sSubSup>
              <m:e>
                <m:r>
                  <m:t xml:space="preserve">u</m:t>
                </m:r>
              </m:e>
              <m:sub>
                <m:r>
                  <m:t xml:space="preserve">t</m:t>
                </m:r>
                <m:r>
                  <m:t xml:space="preserve">−</m:t>
                </m:r>
                <m:r>
                  <m:t xml:space="preserve">1</m:t>
                </m:r>
              </m:sub>
              <m:sup>
                <m:r>
                  <m:t xml:space="preserve">2</m:t>
                </m:r>
              </m:sup>
            </m:sSubSup>
          </m:e>
        </m:d>
        <m:r>
          <m:t xml:space="preserve">+</m:t>
        </m:r>
        <m:r>
          <m:t xml:space="preserve">γ</m:t>
        </m:r>
        <m:r>
          <m:rPr>
            <m:lit/>
            <m:nor/>
          </m:rPr>
          <m:t xml:space="preserve">ln</m:t>
        </m:r>
        <m:sSubSup>
          <m:e>
            <m:r>
              <m:t xml:space="preserve">σ</m:t>
            </m:r>
          </m:e>
          <m:sub>
            <m:r>
              <m:t xml:space="preserve">t</m:t>
            </m:r>
            <m:r>
              <m:t xml:space="preserve">−</m:t>
            </m:r>
            <m:r>
              <m:t xml:space="preserve">1</m:t>
            </m:r>
          </m:sub>
          <m:sup>
            <m:r>
              <m:t xml:space="preserve">2</m:t>
            </m:r>
          </m:sup>
        </m:sSubSup>
      </m:oMath>
      <w:r>
        <w:rPr>
          <w:color w:val="000000"/>
        </w:rPr>
        <w:tab/>
        <w:t>(3.18)</w:t>
      </w:r>
    </w:p>
    <w:p>
      <w:pPr>
        <w:pStyle w:val="Normal"/>
        <w:rPr>
          <w:color w:val="000000"/>
        </w:rPr>
      </w:pPr>
      <w:r>
        <w:rPr>
          <w:color w:val="000000"/>
        </w:rPr>
      </w:r>
    </w:p>
    <w:p>
      <w:pPr>
        <w:pStyle w:val="Heading3"/>
        <w:ind w:hanging="0" w:start="0"/>
        <w:rPr>
          <w:color w:val="000000"/>
        </w:rPr>
      </w:pPr>
      <w:r>
        <w:rPr>
          <w:color w:val="000000"/>
        </w:rPr>
        <w:t>3.4.1</w:t>
        <w:tab/>
        <w:t>Estimation and Testing</w:t>
      </w:r>
    </w:p>
    <w:p>
      <w:pPr>
        <w:pStyle w:val="Normal"/>
        <w:rPr>
          <w:color w:val="000000"/>
        </w:rPr>
      </w:pPr>
      <w:r>
        <w:rPr>
          <w:color w:val="000000"/>
        </w:rPr>
      </w:r>
    </w:p>
    <w:p>
      <w:pPr>
        <w:pStyle w:val="Normal"/>
        <w:rPr>
          <w:color w:val="000000"/>
        </w:rPr>
      </w:pPr>
      <w:r>
        <w:rPr>
          <w:color w:val="000000"/>
        </w:rPr>
        <w:t>Once a model is chosen as a hypothesis for a given price behaviour, the parameters for that model must be estimated.  Usually this is done using historical data, but, as we have seen, because the practitioner is almost always more interested in future price behaviour, it is better to use forward looking information to the extent possible to calibrate the model. In addition to parameter estimation, an equally important and often times more difficult task is testing how well the proposed model fits the data. This usually means using the statistical properties of a proposed model to determine how probable it is that such a model could have generated the observed data.  While there are well-established tests for many of the simpler models, tests for more complicated models such as ARCH and GARCH are less well defined and are the subject of much academic research.</w:t>
      </w:r>
    </w:p>
    <w:p>
      <w:pPr>
        <w:pStyle w:val="Normal"/>
        <w:rPr>
          <w:color w:val="000000"/>
        </w:rPr>
      </w:pPr>
      <w:r>
        <w:rPr>
          <w:color w:val="000000"/>
        </w:rPr>
      </w:r>
    </w:p>
    <w:p>
      <w:pPr>
        <w:pStyle w:val="Normal"/>
        <w:rPr>
          <w:color w:val="000000"/>
        </w:rPr>
      </w:pPr>
      <w:r>
        <w:rPr>
          <w:color w:val="000000"/>
        </w:rPr>
        <w:t>The fields of estimation and testing techniques are vast, representing core subjects in statistics and econometrics. By necessity we will be brief in this section, concentrating only on the essential aspects of estimation as it relates to energy commodity price modelling. Any reader faced with the task of estimating price processes, and who is unfamiliar with econometrics, can consult one of the many textbooks on the subject, for example Greene (1997) and Davidson and MacKinnon (1993).</w:t>
      </w:r>
    </w:p>
    <w:p>
      <w:pPr>
        <w:pStyle w:val="Normal"/>
        <w:rPr>
          <w:color w:val="000000"/>
        </w:rPr>
      </w:pPr>
      <w:r>
        <w:rPr>
          <w:color w:val="000000"/>
        </w:rPr>
      </w:r>
    </w:p>
    <w:p>
      <w:pPr>
        <w:pStyle w:val="Normal"/>
        <w:rPr/>
      </w:pPr>
      <w:r>
        <w:rPr>
          <w:color w:val="000000"/>
        </w:rPr>
        <w:t xml:space="preserve">As we shall see in a moment, there is more to parameter estimation than simply running regressions.  There are an infinite number of possible estimators for a given model parameter: the number 42, for example, is a perfectly acceptable estimator of the mean of a price process; it is simply not very accurate, and hence not very useful.  Two properties, bias and efficiency define the usefulness of a parameter estimator. An estimate of a parameter is a random number with a mean and variance.  Clearly, we would like our measurement to be “the best guess” possible of the actual parameter value.  In other words, if </w:t>
      </w:r>
      <w:r>
        <w:rPr>
          <w:rFonts w:eastAsia="Symbol" w:cs="Symbol" w:ascii="Symbol" w:hAnsi="Symbol"/>
          <w:color w:val="000000"/>
        </w:rPr>
        <w:sym w:font="Symbol" w:char="f071"/>
      </w:r>
      <w:r>
        <w:rPr>
          <w:color w:val="000000"/>
        </w:rPr>
        <w:t xml:space="preserve"> is the estimate of the true value </w:t>
      </w:r>
      <w:r>
        <w:rPr>
          <w:rFonts w:eastAsia="Symbol" w:cs="Symbol" w:ascii="Symbol" w:hAnsi="Symbol"/>
          <w:color w:val="000000"/>
        </w:rPr>
        <w:sym w:font="Symbol" w:char="f051"/>
      </w:r>
      <w:r>
        <w:rPr>
          <w:color w:val="000000"/>
        </w:rPr>
        <w:t xml:space="preserve">, then it is desirable that </w:t>
      </w:r>
      <w:r>
        <w:rPr>
          <w:i/>
          <w:color w:val="000000"/>
        </w:rPr>
        <w:t>E</w:t>
      </w:r>
      <w:r>
        <w:rPr>
          <w:color w:val="000000"/>
        </w:rPr>
        <w:t>[</w:t>
      </w:r>
      <w:r>
        <w:rPr>
          <w:rFonts w:eastAsia="Symbol" w:cs="Symbol" w:ascii="Symbol" w:hAnsi="Symbol"/>
          <w:color w:val="000000"/>
        </w:rPr>
        <w:sym w:font="Symbol" w:char="f071"/>
      </w:r>
      <w:r>
        <w:rPr>
          <w:color w:val="000000"/>
        </w:rPr>
        <w:t xml:space="preserve"> - </w:t>
      </w:r>
      <w:r>
        <w:rPr>
          <w:rFonts w:eastAsia="Symbol" w:cs="Symbol" w:ascii="Symbol" w:hAnsi="Symbol"/>
          <w:color w:val="000000"/>
        </w:rPr>
        <w:sym w:font="Symbol" w:char="f051"/>
      </w:r>
      <w:r>
        <w:rPr>
          <w:color w:val="000000"/>
        </w:rPr>
        <w:t>] = 0.  An estimator is said to be unbiased if this property holds.</w:t>
      </w:r>
    </w:p>
    <w:p>
      <w:pPr>
        <w:pStyle w:val="Normal"/>
        <w:rPr>
          <w:color w:val="000000"/>
        </w:rPr>
      </w:pPr>
      <w:r>
        <w:rPr>
          <w:color w:val="000000"/>
        </w:rPr>
      </w:r>
    </w:p>
    <w:p>
      <w:pPr>
        <w:pStyle w:val="Normal"/>
        <w:rPr/>
      </w:pPr>
      <w:r>
        <w:rPr>
          <w:color w:val="000000"/>
        </w:rPr>
        <w:t xml:space="preserve">Similarly, it is preferable to have an estimate with the smallest possible variance.  For example, let </w:t>
      </w:r>
      <w:r>
        <w:rPr>
          <w:rFonts w:eastAsia="Symbol" w:cs="Symbol" w:ascii="Symbol" w:hAnsi="Symbol"/>
          <w:i/>
          <w:iCs/>
          <w:color w:val="000000"/>
        </w:rPr>
        <w:sym w:font="Symbol" w:char="f071"/>
      </w:r>
      <w:r>
        <w:rPr>
          <w:color w:val="000000"/>
          <w:vertAlign w:val="subscript"/>
        </w:rPr>
        <w:t xml:space="preserve">1 </w:t>
      </w:r>
      <w:r>
        <w:rPr>
          <w:color w:val="000000"/>
        </w:rPr>
        <w:t xml:space="preserve">be the average of the sum of every fourth price in a time series.  This is an entirely acceptable and unbiased estimate of the mean price.  However, the variance of </w:t>
      </w:r>
      <w:r>
        <w:rPr>
          <w:rFonts w:eastAsia="Symbol" w:cs="Symbol" w:ascii="Symbol" w:hAnsi="Symbol"/>
          <w:i/>
          <w:iCs/>
          <w:color w:val="000000"/>
        </w:rPr>
        <w:sym w:font="Symbol" w:char="f071"/>
      </w:r>
      <w:r>
        <w:rPr>
          <w:color w:val="000000"/>
          <w:vertAlign w:val="subscript"/>
        </w:rPr>
        <w:t xml:space="preserve">1 </w:t>
      </w:r>
      <w:r>
        <w:rPr>
          <w:color w:val="000000"/>
        </w:rPr>
        <w:t xml:space="preserve">is twice as large as that of the estimate </w:t>
      </w:r>
      <w:r>
        <w:rPr>
          <w:rFonts w:eastAsia="Symbol" w:cs="Symbol" w:ascii="Symbol" w:hAnsi="Symbol"/>
          <w:i/>
          <w:iCs/>
          <w:color w:val="000000"/>
        </w:rPr>
        <w:sym w:font="Symbol" w:char="f071"/>
      </w:r>
      <w:r>
        <w:rPr>
          <w:color w:val="000000"/>
          <w:vertAlign w:val="subscript"/>
        </w:rPr>
        <w:t>2</w:t>
      </w:r>
      <w:r>
        <w:rPr>
          <w:color w:val="000000"/>
        </w:rPr>
        <w:t xml:space="preserve"> derived from taking the average of the sum of every price.  Clearly, </w:t>
      </w:r>
      <w:r>
        <w:rPr>
          <w:rFonts w:eastAsia="Symbol" w:cs="Symbol" w:ascii="Symbol" w:hAnsi="Symbol"/>
          <w:i/>
          <w:iCs/>
          <w:color w:val="000000"/>
        </w:rPr>
        <w:sym w:font="Symbol" w:char="f071"/>
      </w:r>
      <w:r>
        <w:rPr>
          <w:color w:val="000000"/>
          <w:vertAlign w:val="subscript"/>
        </w:rPr>
        <w:t>2</w:t>
      </w:r>
      <w:r>
        <w:rPr>
          <w:color w:val="000000"/>
        </w:rPr>
        <w:t xml:space="preserve"> is more “efficient” than </w:t>
      </w:r>
      <w:r>
        <w:rPr>
          <w:rFonts w:eastAsia="Symbol" w:cs="Symbol" w:ascii="Symbol" w:hAnsi="Symbol"/>
          <w:i/>
          <w:iCs/>
          <w:color w:val="000000"/>
        </w:rPr>
        <w:sym w:font="Symbol" w:char="f071"/>
      </w:r>
      <w:r>
        <w:rPr>
          <w:color w:val="000000"/>
          <w:vertAlign w:val="subscript"/>
        </w:rPr>
        <w:t xml:space="preserve">1 </w:t>
      </w:r>
      <w:r>
        <w:rPr>
          <w:color w:val="000000"/>
        </w:rPr>
        <w:t xml:space="preserve">because, </w:t>
      </w:r>
      <w:r>
        <w:rPr>
          <w:color w:val="000000"/>
        </w:rPr>
      </w:r>
      <m:oMath xmlns:m="http://schemas.openxmlformats.org/officeDocument/2006/math">
        <m:r>
          <m:t xml:space="preserve">E</m:t>
        </m:r>
        <m:d>
          <m:dPr>
            <m:begChr m:val="("/>
            <m:endChr m:val=")"/>
          </m:dPr>
          <m:e>
            <m:sSubSup>
              <m:e>
                <m:r>
                  <m:t xml:space="preserve">θ</m:t>
                </m:r>
              </m:e>
              <m:sub>
                <m:r>
                  <m:t xml:space="preserve">1</m:t>
                </m:r>
              </m:sub>
              <m:sup>
                <m:r>
                  <m:t xml:space="preserve">2</m:t>
                </m:r>
              </m:sup>
            </m:sSubSup>
          </m:e>
        </m:d>
        <m:r>
          <m:t xml:space="preserve">&gt;</m:t>
        </m:r>
        <m:r>
          <m:t xml:space="preserve">E</m:t>
        </m:r>
        <m:d>
          <m:dPr>
            <m:begChr m:val="("/>
            <m:endChr m:val=")"/>
          </m:dPr>
          <m:e>
            <m:sSubSup>
              <m:e>
                <m:r>
                  <m:t xml:space="preserve">θ</m:t>
                </m:r>
              </m:e>
              <m:sub>
                <m:r>
                  <m:t xml:space="preserve">2</m:t>
                </m:r>
              </m:sub>
              <m:sup>
                <m:r>
                  <m:t xml:space="preserve">2</m:t>
                </m:r>
              </m:sup>
            </m:sSubSup>
          </m:e>
        </m:d>
      </m:oMath>
      <w:r>
        <w:rPr>
          <w:color w:val="000000"/>
        </w:rPr>
        <w:t>.</w:t>
      </w:r>
    </w:p>
    <w:p>
      <w:pPr>
        <w:pStyle w:val="Normal"/>
        <w:rPr>
          <w:color w:val="000000"/>
        </w:rPr>
      </w:pPr>
      <w:r>
        <w:rPr>
          <w:color w:val="000000"/>
        </w:rPr>
      </w:r>
    </w:p>
    <w:p>
      <w:pPr>
        <w:pStyle w:val="Normal"/>
        <w:rPr>
          <w:color w:val="000000"/>
        </w:rPr>
      </w:pPr>
      <w:r>
        <w:rPr>
          <w:color w:val="000000"/>
        </w:rPr>
        <w:t>Both properties are important. An estimator that is biased but efficient may be preferable to an unbiased, inefficient estimator because it will provide tighter bounds on the range of possible parameter values.</w:t>
      </w:r>
    </w:p>
    <w:p>
      <w:pPr>
        <w:pStyle w:val="Normal"/>
        <w:rPr>
          <w:color w:val="000000"/>
        </w:rPr>
      </w:pPr>
      <w:r>
        <w:rPr>
          <w:color w:val="000000"/>
        </w:rPr>
      </w:r>
    </w:p>
    <w:p>
      <w:pPr>
        <w:pStyle w:val="Normal"/>
        <w:rPr>
          <w:color w:val="000000"/>
        </w:rPr>
      </w:pPr>
      <w:r>
        <w:rPr>
          <w:color w:val="000000"/>
        </w:rPr>
        <w:t>For the sake of completeness, we mention in passing that the concepts of bias and efficiency are applicable to finite-sample estimates only.  It is often the case that we do not know the finite properties of an estimator.  Therefore we must compare instead the asymptotic (i.e. in the limit of large sample size) properties of estimators to determine which is more suitable and then assume that the relationship holds in the real world of finite sampling.  The asymptotic properties most often described in the literature as desirable are consistency, asymptotic normality, and asymptotic efficiency.  While consistency and asymptotic normality are akin to bias in the sense that they all measure whether an estimate converges in some sense to the true value, they are not the same thing.  Indeed, an estimator can be biased but consistent, or vice versa.</w:t>
      </w:r>
    </w:p>
    <w:p>
      <w:pPr>
        <w:pStyle w:val="Normal"/>
        <w:rPr>
          <w:color w:val="000000"/>
        </w:rPr>
      </w:pPr>
      <w:r>
        <w:rPr>
          <w:color w:val="000000"/>
        </w:rPr>
      </w:r>
    </w:p>
    <w:p>
      <w:pPr>
        <w:pStyle w:val="Heading3"/>
        <w:ind w:hanging="0" w:start="0"/>
        <w:rPr>
          <w:color w:val="000000"/>
        </w:rPr>
      </w:pPr>
      <w:r>
        <w:rPr>
          <w:color w:val="000000"/>
        </w:rPr>
        <w:t>3.4.2</w:t>
        <w:tab/>
        <w:t>Ordinary Least Squares</w:t>
      </w:r>
    </w:p>
    <w:p>
      <w:pPr>
        <w:pStyle w:val="Normal"/>
        <w:rPr>
          <w:color w:val="000000"/>
        </w:rPr>
      </w:pPr>
      <w:r>
        <w:rPr>
          <w:color w:val="000000"/>
        </w:rPr>
      </w:r>
    </w:p>
    <w:p>
      <w:pPr>
        <w:pStyle w:val="Normal"/>
        <w:rPr/>
      </w:pPr>
      <w:r>
        <w:rPr>
          <w:color w:val="000000"/>
        </w:rPr>
        <w:t>Ordinary Least Squared estimation (OLS) is probably the technique most familiar to readers because it is at the heart of standard linear regression analysis.  The concept is simple: we hypothesize that a set of observations {</w:t>
      </w:r>
      <w:r>
        <w:rPr>
          <w:b/>
          <w:color w:val="000000"/>
        </w:rPr>
        <w:t>x</w:t>
      </w:r>
      <w:r>
        <w:rPr>
          <w:i/>
          <w:iCs/>
          <w:color w:val="000000"/>
          <w:vertAlign w:val="subscript"/>
        </w:rPr>
        <w:t>t</w:t>
      </w:r>
      <w:r>
        <w:rPr>
          <w:color w:val="000000"/>
        </w:rPr>
        <w:t>, y</w:t>
      </w:r>
      <w:r>
        <w:rPr>
          <w:i/>
          <w:iCs/>
          <w:color w:val="000000"/>
          <w:vertAlign w:val="subscript"/>
        </w:rPr>
        <w:t>t</w:t>
      </w:r>
      <w:r>
        <w:rPr>
          <w:color w:val="000000"/>
        </w:rPr>
        <w:t>} is related via the stochastic equation</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y</m:t>
        </m:r>
        <m:r>
          <m:t xml:space="preserve">=</m:t>
        </m:r>
        <m:r>
          <m:t xml:space="preserve">θ</m:t>
        </m:r>
        <m:r>
          <m:t xml:space="preserve">⋅</m:t>
        </m:r>
        <m:r>
          <m:t xml:space="preserve">x</m:t>
        </m:r>
        <m:r>
          <m:t xml:space="preserve">+</m:t>
        </m:r>
        <m:r>
          <m:t xml:space="preserve">ε</m:t>
        </m:r>
      </m:oMath>
      <w:r>
        <w:rPr>
          <w:color w:val="000000"/>
        </w:rPr>
        <w:tab/>
        <w:t>(3.19)</w:t>
      </w:r>
    </w:p>
    <w:p>
      <w:pPr>
        <w:pStyle w:val="Normal"/>
        <w:rPr>
          <w:color w:val="000000"/>
        </w:rPr>
      </w:pPr>
      <w:r>
        <w:rPr>
          <w:color w:val="000000"/>
        </w:rPr>
      </w:r>
    </w:p>
    <w:p>
      <w:pPr>
        <w:pStyle w:val="Normal"/>
        <w:rPr/>
      </w:pPr>
      <w:r>
        <w:rPr>
          <w:color w:val="000000"/>
        </w:rPr>
        <w:t xml:space="preserve">where </w:t>
      </w:r>
      <w:r>
        <w:rPr>
          <w:rFonts w:eastAsia="Symbol" w:cs="Symbol" w:ascii="Symbol" w:hAnsi="Symbol"/>
          <w:b/>
          <w:color w:val="000000"/>
        </w:rPr>
        <w:sym w:font="Symbol" w:char="f071"/>
      </w:r>
      <w:r>
        <w:rPr>
          <w:b/>
          <w:color w:val="000000"/>
        </w:rPr>
        <w:t xml:space="preserve"> </w:t>
      </w:r>
      <w:r>
        <w:rPr>
          <w:color w:val="000000"/>
        </w:rPr>
        <w:t xml:space="preserve">is the set of unknown parameters.  We can estimate these parameters by choosing a set </w:t>
      </w:r>
      <w:r>
        <w:rPr>
          <w:color w:val="000000"/>
        </w:rPr>
      </w:r>
      <m:oMath xmlns:m="http://schemas.openxmlformats.org/officeDocument/2006/math">
        <m:acc>
          <m:accPr>
            <m:chr m:val="~"/>
          </m:accPr>
          <m:e>
            <m:r>
              <m:t xml:space="preserve">θ</m:t>
            </m:r>
          </m:e>
        </m:acc>
      </m:oMath>
      <w:r>
        <w:rPr>
          <w:color w:val="000000"/>
        </w:rPr>
        <w:t xml:space="preserve"> such that the sum of squared observed residuals (SSR) from </w:t>
      </w:r>
      <w:r>
        <w:rPr>
          <w:i/>
          <w:iCs/>
          <w:color w:val="000000"/>
        </w:rPr>
        <w:t>N</w:t>
      </w:r>
      <w:r>
        <w:rPr>
          <w:color w:val="000000"/>
        </w:rPr>
        <w:t xml:space="preserve"> observations is minimized;</w:t>
      </w:r>
    </w:p>
    <w:p>
      <w:pPr>
        <w:pStyle w:val="Normal"/>
        <w:rPr>
          <w:color w:val="000000"/>
        </w:rPr>
      </w:pPr>
      <w:r>
        <w:rPr>
          <w:color w:val="000000"/>
        </w:rPr>
      </w:r>
      <w:bookmarkStart w:id="13" w:name="_Ref486089739"/>
      <w:bookmarkStart w:id="14" w:name="_Ref486089739"/>
      <w:bookmarkEnd w:id="14"/>
    </w:p>
    <w:p>
      <w:pPr>
        <w:pStyle w:val="Equation"/>
        <w:rPr/>
      </w:pPr>
      <w:bookmarkStart w:id="15" w:name="_Ref486089739"/>
      <w:bookmarkEnd w:id="15"/>
      <w:r>
        <w:rPr>
          <w:i/>
          <w:color w:val="000000"/>
        </w:rPr>
        <w:tab/>
      </w:r>
      <w:r>
        <w:rPr>
          <w:color w:val="000000"/>
        </w:rPr>
      </w:r>
      <m:oMath xmlns:m="http://schemas.openxmlformats.org/officeDocument/2006/math">
        <m:eqAr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r>
              <m:t xml:space="preserve">+</m:t>
            </m:r>
            <m:sSub>
              <m:e>
                <m:r>
                  <m:t xml:space="preserve">e</m:t>
                </m:r>
              </m:e>
              <m:sub>
                <m:r>
                  <m:t xml:space="preserve">t</m:t>
                </m:r>
              </m:sub>
            </m:sSub>
          </m:e>
          <m:e>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e>
                    </m:d>
                  </m:e>
                  <m:sup>
                    <m:r>
                      <m:t xml:space="preserve">2</m:t>
                    </m:r>
                  </m:sup>
                </m:sSup>
              </m:e>
            </m:nary>
          </m:e>
        </m:eqArr>
      </m:oMath>
      <w:r>
        <w:rPr>
          <w:color w:val="000000"/>
        </w:rPr>
        <w:tab/>
        <w:t>(3.20)</w:t>
      </w:r>
    </w:p>
    <w:p>
      <w:pPr>
        <w:pStyle w:val="Normal"/>
        <w:rPr>
          <w:color w:val="000000"/>
        </w:rPr>
      </w:pPr>
      <w:r>
        <w:rPr>
          <w:color w:val="000000"/>
        </w:rPr>
      </w:r>
    </w:p>
    <w:p>
      <w:pPr>
        <w:pStyle w:val="Normal"/>
        <w:rPr/>
      </w:pPr>
      <w:r>
        <w:rPr>
          <w:color w:val="000000"/>
        </w:rPr>
        <w:t xml:space="preserve">The OLS estimates </w:t>
      </w:r>
      <w:r>
        <w:rPr>
          <w:color w:val="000000"/>
        </w:rPr>
      </w:r>
      <m:oMath xmlns:m="http://schemas.openxmlformats.org/officeDocument/2006/math">
        <m:acc>
          <m:accPr>
            <m:chr m:val="~"/>
          </m:accPr>
          <m:e>
            <m:r>
              <m:t xml:space="preserve">θ</m:t>
            </m:r>
          </m:e>
        </m:acc>
      </m:oMath>
      <w:r>
        <w:rPr>
          <w:color w:val="000000"/>
        </w:rPr>
        <w:t>are found in the usual way by setting</w:t>
      </w:r>
      <w:r>
        <w:rPr>
          <w:color w:val="000000"/>
        </w:rPr>
      </w:r>
      <m:oMath xmlns:m="http://schemas.openxmlformats.org/officeDocument/2006/math">
        <m:f>
          <m:num>
            <m:r>
              <m:t xml:space="preserve">∂</m:t>
            </m:r>
            <m:r>
              <m:rPr>
                <m:lit/>
                <m:nor/>
              </m:rPr>
              <m:t xml:space="preserve">SSR</m:t>
            </m:r>
          </m:num>
          <m:den>
            <m:r>
              <m:t xml:space="preserve">∂</m:t>
            </m:r>
            <m:r>
              <m:t xml:space="preserve">θ</m:t>
            </m:r>
          </m:den>
        </m:f>
        <m:r>
          <m:t xml:space="preserve">=</m:t>
        </m:r>
        <m:r>
          <m:t xml:space="preserve">0</m:t>
        </m:r>
      </m:oMath>
      <w:r>
        <w:rPr>
          <w:color w:val="000000"/>
        </w:rPr>
        <w:t xml:space="preserve"> and solving for </w:t>
      </w:r>
      <w:r>
        <w:rPr>
          <w:color w:val="000000"/>
        </w:rPr>
      </w:r>
      <m:oMath xmlns:m="http://schemas.openxmlformats.org/officeDocument/2006/math">
        <m:acc>
          <m:accPr>
            <m:chr m:val="~"/>
          </m:accPr>
          <m:e>
            <m:r>
              <m:t xml:space="preserve">θ</m:t>
            </m:r>
          </m:e>
        </m:acc>
      </m:oMath>
      <w:r>
        <w:rPr>
          <w:color w:val="000000"/>
        </w:rPr>
        <w:t>.  For example, recall that the pure diffusion equation (3.13) is written as</w:t>
      </w:r>
    </w:p>
    <w:p>
      <w:pPr>
        <w:pStyle w:val="Normal"/>
        <w:rPr>
          <w:color w:val="000000"/>
        </w:rPr>
      </w:pPr>
      <w:r>
        <w:rPr>
          <w:color w:val="000000"/>
        </w:rPr>
      </w:r>
      <w:bookmarkStart w:id="16" w:name="_Ref486089701"/>
      <w:bookmarkStart w:id="17" w:name="_Ref486089701"/>
      <w:bookmarkEnd w:id="17"/>
    </w:p>
    <w:p>
      <w:pPr>
        <w:pStyle w:val="Equation"/>
        <w:rPr/>
      </w:pPr>
      <w:bookmarkStart w:id="18" w:name="_Ref486089701"/>
      <w:bookmarkEnd w:id="18"/>
      <w:r>
        <w:rPr>
          <w:i/>
          <w:color w:val="000000"/>
        </w:rPr>
        <w:tab/>
      </w:r>
      <w:r>
        <w:rPr>
          <w:color w:val="000000"/>
        </w:rPr>
      </w:r>
      <m:oMath xmlns:m="http://schemas.openxmlformats.org/officeDocument/2006/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w:r>
        <w:rPr>
          <w:color w:val="000000"/>
        </w:rPr>
        <w:t xml:space="preserve">,   </w:t>
      </w:r>
      <w:r>
        <w:rPr>
          <w:color w:val="000000"/>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000000"/>
        </w:rPr>
        <w:tab/>
        <w:t>(3.21)</w:t>
      </w:r>
    </w:p>
    <w:p>
      <w:pPr>
        <w:pStyle w:val="Normal"/>
        <w:rPr>
          <w:color w:val="000000"/>
        </w:rPr>
      </w:pPr>
      <w:r>
        <w:rPr>
          <w:color w:val="000000"/>
        </w:rPr>
      </w:r>
    </w:p>
    <w:p>
      <w:pPr>
        <w:pStyle w:val="Normal"/>
        <w:rPr>
          <w:color w:val="000000"/>
        </w:rPr>
      </w:pPr>
      <w:r>
        <w:rPr>
          <w:color w:val="000000"/>
        </w:rPr>
        <w:t>Then sum of squared residuals is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k</m:t>
                    </m:r>
                  </m:e>
                </m:d>
              </m:e>
              <m:sup>
                <m:r>
                  <m:t xml:space="preserve">2</m:t>
                </m:r>
              </m:sup>
            </m:sSup>
          </m:e>
        </m:nary>
      </m:oMath>
      <w:r>
        <w:rPr>
          <w:color w:val="000000"/>
        </w:rPr>
        <w:tab/>
        <w:t>(3.22)</w:t>
      </w:r>
    </w:p>
    <w:p>
      <w:pPr>
        <w:pStyle w:val="Normal"/>
        <w:rPr>
          <w:color w:val="000000"/>
        </w:rPr>
      </w:pPr>
      <w:r>
        <w:rPr>
          <w:color w:val="000000"/>
        </w:rPr>
      </w:r>
    </w:p>
    <w:p>
      <w:pPr>
        <w:pStyle w:val="Normal"/>
        <w:rPr/>
      </w:pPr>
      <w:r>
        <w:rPr>
          <w:color w:val="000000"/>
        </w:rPr>
        <w:t xml:space="preserve">Taking the derivative with respect to </w:t>
      </w:r>
      <w:r>
        <w:rPr>
          <w:i/>
          <w:iCs/>
          <w:color w:val="000000"/>
        </w:rPr>
        <w:t>k</w:t>
      </w:r>
      <w:r>
        <w:rPr>
          <w:color w:val="000000"/>
        </w:rPr>
        <w:t xml:space="preserve"> and setting the resultant equation equal to zero yields;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eqArr>
          <m:e>
            <m:f>
              <m:num>
                <m:r>
                  <m:t xml:space="preserve">∂</m:t>
                </m:r>
                <m:r>
                  <m:rPr>
                    <m:lit/>
                    <m:nor/>
                  </m:rPr>
                  <m:t xml:space="preserve">SSR</m:t>
                </m:r>
              </m:num>
              <m:den>
                <m:r>
                  <m:t xml:space="preserve">∂</m:t>
                </m:r>
                <m:r>
                  <m:t xml:space="preserve">k</m:t>
                </m:r>
              </m:den>
            </m:f>
            <m:r>
              <m:t xml:space="preserve">=</m:t>
            </m:r>
            <m:nary>
              <m:naryPr>
                <m:chr m:val="∑"/>
              </m:naryPr>
              <m:sub>
                <m:r>
                  <m:t xml:space="preserve">t</m:t>
                </m:r>
                <m:r>
                  <m:t xml:space="preserve">=</m:t>
                </m:r>
                <m:r>
                  <m:t xml:space="preserve">1</m:t>
                </m:r>
              </m:sub>
              <m:sup>
                <m:r>
                  <m:t xml:space="preserve">N</m:t>
                </m:r>
              </m:sup>
              <m:e>
                <m:r>
                  <m:t xml:space="preserve">2</m:t>
                </m:r>
                <m:d>
                  <m:dPr>
                    <m:begChr m:val="("/>
                    <m:endChr m:val=")"/>
                  </m:dPr>
                  <m:e>
                    <m:sSub>
                      <m:e>
                        <m:r>
                          <m:t xml:space="preserve">y</m:t>
                        </m:r>
                      </m:e>
                      <m:sub>
                        <m:r>
                          <m:t xml:space="preserve">t</m:t>
                        </m:r>
                      </m:sub>
                    </m:sSub>
                    <m:r>
                      <m:t xml:space="preserve">−</m:t>
                    </m:r>
                    <m:r>
                      <m:t xml:space="preserve">k</m:t>
                    </m:r>
                  </m:e>
                </m:d>
              </m:e>
            </m:nary>
            <m:r>
              <m:t xml:space="preserve">=</m:t>
            </m:r>
            <m:r>
              <m:t xml:space="preserve">0</m:t>
            </m:r>
          </m:e>
          <m:e>
            <m:r>
              <m:t xml:space="preserve">k</m:t>
            </m:r>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
            <m:r>
              <m:t xml:space="preserve">κ</m:t>
            </m:r>
            <m:r>
              <m:t xml:space="preserve">=</m:t>
            </m:r>
            <m:r>
              <m:t xml:space="preserve">E</m:t>
            </m:r>
            <m:d>
              <m:dPr>
                <m:begChr m:val="("/>
                <m:endChr m:val=")"/>
              </m:dPr>
              <m:e>
                <m:r>
                  <m:t xml:space="preserve">k</m:t>
                </m:r>
              </m:e>
            </m:d>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qArr>
      </m:oMath>
      <w:r>
        <w:rPr>
          <w:color w:val="000000"/>
        </w:rPr>
        <w:tab/>
        <w:t>(3.23)</w:t>
      </w:r>
    </w:p>
    <w:p>
      <w:pPr>
        <w:pStyle w:val="Normal"/>
        <w:rPr>
          <w:color w:val="000000"/>
        </w:rPr>
      </w:pPr>
      <w:r>
        <w:rPr>
          <w:color w:val="000000"/>
        </w:rPr>
      </w:r>
    </w:p>
    <w:p>
      <w:pPr>
        <w:pStyle w:val="Normal"/>
        <w:rPr/>
      </w:pPr>
      <w:r>
        <w:rPr>
          <w:color w:val="000000"/>
        </w:rPr>
        <w:t xml:space="preserve">as expected.  Because </w:t>
      </w:r>
      <w:r>
        <w:rPr>
          <w:rFonts w:eastAsia="Symbol" w:cs="Symbol" w:ascii="Symbol" w:hAnsi="Symbol"/>
          <w:color w:val="000000"/>
        </w:rPr>
        <w:sym w:font="Symbol" w:char="f073"/>
      </w:r>
      <w:r>
        <w:rPr>
          <w:color w:val="000000"/>
        </w:rPr>
        <w:t xml:space="preserve"> multiplies the stochastic term, we must resort to a slightly different method to find its estimate.  From equations 3.20 and 3.21 we know that we can write</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eqArr>
          <m:e>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e>
          <m:e>
            <m:sSub>
              <m:e>
                <m:r>
                  <m:t xml:space="preserve">e</m:t>
                </m:r>
              </m:e>
              <m:sub>
                <m:r>
                  <m:t xml:space="preserve">t</m:t>
                </m:r>
              </m:sub>
            </m:sSub>
            <m:r>
              <m:t xml:space="preserve">=</m:t>
            </m:r>
            <m:sSub>
              <m:e>
                <m:r>
                  <m:t xml:space="preserve">y</m:t>
                </m:r>
              </m:e>
              <m:sub>
                <m:r>
                  <m:t xml:space="preserve">t</m:t>
                </m:r>
              </m:sub>
            </m:sSub>
            <m:r>
              <m:t xml:space="preserve">−</m:t>
            </m:r>
            <m:r>
              <m:t xml:space="preserve">k</m:t>
            </m:r>
          </m:e>
        </m:eqArr>
      </m:oMath>
      <w:r>
        <w:rPr>
          <w:color w:val="000000"/>
        </w:rPr>
        <w:tab/>
        <w:t>(3.24)</w:t>
      </w:r>
    </w:p>
    <w:p>
      <w:pPr>
        <w:pStyle w:val="Normal"/>
        <w:rPr>
          <w:color w:val="000000"/>
        </w:rPr>
      </w:pPr>
      <w:r>
        <w:rPr>
          <w:color w:val="000000"/>
        </w:rPr>
      </w:r>
    </w:p>
    <w:p>
      <w:pPr>
        <w:pStyle w:val="Normal"/>
        <w:rPr/>
      </w:pPr>
      <w:r>
        <w:rPr>
          <w:color w:val="000000"/>
        </w:rPr>
        <w:t xml:space="preserve">These relations also allow us to define the </w:t>
      </w:r>
      <w:r>
        <w:rPr>
          <w:i/>
          <w:color w:val="000000"/>
        </w:rPr>
        <w:t>average</w:t>
      </w:r>
      <w:r>
        <w:rPr>
          <w:color w:val="000000"/>
        </w:rPr>
        <w:t xml:space="preserve"> innovation and</w:t>
      </w:r>
      <w:r>
        <w:rPr>
          <w:i/>
          <w:color w:val="000000"/>
        </w:rPr>
        <w:t xml:space="preserve"> average </w:t>
      </w:r>
      <w:r>
        <w:rPr>
          <w:color w:val="000000"/>
        </w:rPr>
        <w:t>return;</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σ</m:t>
        </m:r>
        <m:acc>
          <m:accPr>
            <m:chr m:val="¯"/>
          </m:accPr>
          <m:e>
            <m:r>
              <m:t xml:space="preserve">ε</m:t>
            </m:r>
          </m:e>
        </m:acc>
        <m:r>
          <m:t xml:space="preserve">=</m:t>
        </m:r>
        <m:r>
          <m:t xml:space="preserve">σ</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ε</m:t>
                </m:r>
              </m:e>
              <m:sub>
                <m:r>
                  <m:t xml:space="preserve">t</m:t>
                </m:r>
              </m:sub>
            </m:sSub>
          </m:e>
        </m:nary>
        <m:r>
          <m:t xml:space="preserve">=</m:t>
        </m:r>
        <m:acc>
          <m:accPr>
            <m:chr m:val="¯"/>
          </m:accPr>
          <m:e>
            <m:r>
              <m:t xml:space="preserve">y</m:t>
            </m:r>
          </m:e>
        </m:acc>
        <m:r>
          <m:t xml:space="preserve">−</m:t>
        </m:r>
        <m:r>
          <m:t xml:space="preserve">κ</m:t>
        </m:r>
      </m:oMath>
      <w:r>
        <w:rPr>
          <w:color w:val="000000"/>
        </w:rPr>
        <w:tab/>
        <w:t>(3.25)</w:t>
      </w:r>
    </w:p>
    <w:p>
      <w:pPr>
        <w:pStyle w:val="Normal"/>
        <w:rPr>
          <w:color w:val="000000"/>
        </w:rPr>
      </w:pPr>
      <w:r>
        <w:rPr>
          <w:color w:val="000000"/>
        </w:rPr>
      </w:r>
    </w:p>
    <w:p>
      <w:pPr>
        <w:pStyle w:val="Normal"/>
        <w:rPr>
          <w:color w:val="000000"/>
        </w:rPr>
      </w:pPr>
      <w:r>
        <w:rPr>
          <w:color w:val="000000"/>
        </w:rPr>
        <w:t xml:space="preserve">and </w:t>
      </w:r>
    </w:p>
    <w:p>
      <w:pPr>
        <w:pStyle w:val="Equation"/>
        <w:rPr/>
      </w:pPr>
      <w:r>
        <w:rPr>
          <w:i/>
          <w:color w:val="000000"/>
        </w:rPr>
        <w:tab/>
      </w:r>
      <w:r>
        <w:rPr>
          <w:color w:val="000000"/>
        </w:rPr>
      </w:r>
      <m:oMath xmlns:m="http://schemas.openxmlformats.org/officeDocument/2006/math">
        <m:acc>
          <m:accPr>
            <m:chr m:val="¯"/>
          </m:accPr>
          <m:e>
            <m:r>
              <m:t xml:space="preserve">y</m:t>
            </m:r>
          </m:e>
        </m:acc>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r>
          <m:t xml:space="preserve">=</m:t>
        </m:r>
        <m:r>
          <m:t xml:space="preserve">k</m:t>
        </m:r>
      </m:oMath>
      <w:r>
        <w:rPr>
          <w:color w:val="000000"/>
        </w:rPr>
        <w:tab/>
        <w:t>(3.26)</w:t>
      </w:r>
    </w:p>
    <w:p>
      <w:pPr>
        <w:pStyle w:val="Normal"/>
        <w:rPr>
          <w:color w:val="000000"/>
        </w:rPr>
      </w:pPr>
      <w:r>
        <w:rPr>
          <w:color w:val="000000"/>
        </w:rPr>
      </w:r>
    </w:p>
    <w:p>
      <w:pPr>
        <w:pStyle w:val="Normal"/>
        <w:rPr>
          <w:color w:val="000000"/>
        </w:rPr>
      </w:pPr>
      <w:r>
        <w:rPr>
          <w:color w:val="000000"/>
        </w:rPr>
        <w:t>Then</w:t>
      </w:r>
    </w:p>
    <w:p>
      <w:pPr>
        <w:pStyle w:val="Equation"/>
        <w:rPr/>
      </w:pPr>
      <w:r>
        <w:rPr>
          <w:i/>
          <w:color w:val="000000"/>
        </w:rPr>
        <w:tab/>
      </w:r>
      <w:r>
        <w:rPr>
          <w:color w:val="000000"/>
        </w:rPr>
      </w:r>
      <m:oMath xmlns:m="http://schemas.openxmlformats.org/officeDocument/2006/math">
        <m:eqArr>
          <m:e>
            <m:sSub>
              <m:e>
                <m:r>
                  <m:t xml:space="preserve">e</m:t>
                </m:r>
              </m:e>
              <m:sub>
                <m:r>
                  <m:t xml:space="preserve">t</m:t>
                </m:r>
              </m:sub>
            </m:sSub>
            <m:r>
              <m:t xml:space="preserve">=</m:t>
            </m:r>
            <m:sSub>
              <m:e>
                <m:r>
                  <m:t xml:space="preserve">y</m:t>
                </m:r>
              </m:e>
              <m:sub>
                <m:r>
                  <m:t xml:space="preserve">t</m:t>
                </m:r>
              </m:sub>
            </m:sSub>
            <m:r>
              <m:t xml:space="preserve">−</m:t>
            </m:r>
            <m:r>
              <m:t xml:space="preserve">k</m:t>
            </m:r>
          </m:e>
          <m:e>
            <m:r>
              <m:t xml:space="preserve">κ</m:t>
            </m:r>
            <m:r>
              <m:t xml:space="preserve">+</m:t>
            </m:r>
            <m:sSub>
              <m:e>
                <m:r>
                  <m:rPr>
                    <m:lit/>
                    <m:nor/>
                  </m:rPr>
                  <m:t xml:space="preserve">σε</m:t>
                </m:r>
              </m:e>
              <m:sub>
                <m:r>
                  <m:t xml:space="preserve">t</m:t>
                </m:r>
              </m:sub>
            </m:sSub>
            <m:r>
              <m:t xml:space="preserve">−</m:t>
            </m:r>
            <m:r>
              <m:t xml:space="preserve">k</m:t>
            </m:r>
          </m:e>
          <m:e>
            <m:r>
              <m:t xml:space="preserve">σ</m:t>
            </m:r>
            <m:d>
              <m:dPr>
                <m:begChr m:val="("/>
                <m:endChr m:val=")"/>
              </m:dPr>
              <m:e>
                <m:sSub>
                  <m:e>
                    <m:r>
                      <m:t xml:space="preserve">ε</m:t>
                    </m:r>
                  </m:e>
                  <m:sub>
                    <m:r>
                      <m:t xml:space="preserve">t</m:t>
                    </m:r>
                  </m:sub>
                </m:sSub>
                <m:r>
                  <m:t xml:space="preserve">−</m:t>
                </m:r>
                <m:acc>
                  <m:accPr>
                    <m:chr m:val="¯"/>
                  </m:accPr>
                  <m:e>
                    <m:r>
                      <m:t xml:space="preserve">ε</m:t>
                    </m:r>
                  </m:e>
                </m:acc>
              </m:e>
            </m:d>
          </m:e>
        </m:eqArr>
      </m:oMath>
      <w:r>
        <w:rPr>
          <w:color w:val="000000"/>
        </w:rPr>
        <w:tab/>
        <w:t>(3.27)</w:t>
      </w:r>
    </w:p>
    <w:p>
      <w:pPr>
        <w:pStyle w:val="Normal"/>
        <w:rPr>
          <w:color w:val="000000"/>
        </w:rPr>
      </w:pPr>
      <w:r>
        <w:rPr>
          <w:color w:val="000000"/>
        </w:rPr>
      </w:r>
    </w:p>
    <w:p>
      <w:pPr>
        <w:pStyle w:val="Normal"/>
        <w:rPr>
          <w:color w:val="000000"/>
        </w:rPr>
      </w:pPr>
      <w:r>
        <w:rPr>
          <w:color w:val="000000"/>
        </w:rPr>
        <w:t>Squaring equation (3.27) yields</w:t>
      </w:r>
    </w:p>
    <w:p>
      <w:pPr>
        <w:pStyle w:val="Equation"/>
        <w:rPr/>
      </w:pPr>
      <w:r>
        <w:rPr>
          <w:i/>
          <w:color w:val="000000"/>
        </w:rPr>
        <w:tab/>
      </w:r>
      <w:r>
        <w:rPr>
          <w:color w:val="000000"/>
        </w:rPr>
      </w:r>
      <m:oMath xmlns:m="http://schemas.openxmlformats.org/officeDocument/2006/math">
        <m:eqArr>
          <m:e>
            <m:sSubSup>
              <m:e>
                <m:r>
                  <m:t xml:space="preserve">e</m:t>
                </m:r>
              </m:e>
              <m:sub>
                <m:r>
                  <m:t xml:space="preserve">t</m:t>
                </m:r>
              </m:sub>
              <m:sup>
                <m:r>
                  <m:t xml:space="preserve">2</m:t>
                </m:r>
              </m:sup>
            </m:sSubSup>
            <m:r>
              <m:t xml:space="preserve">=</m:t>
            </m:r>
            <m:sSup>
              <m:e>
                <m:r>
                  <m:t xml:space="preserve">σ</m:t>
                </m:r>
              </m:e>
              <m:sup>
                <m:r>
                  <m:t xml:space="preserve">2</m:t>
                </m:r>
              </m:sup>
            </m:sSup>
            <m:sSup>
              <m:e>
                <m:d>
                  <m:dPr>
                    <m:begChr m:val="("/>
                    <m:endChr m:val=")"/>
                  </m:dPr>
                  <m:e>
                    <m:sSub>
                      <m:e>
                        <m:r>
                          <m:t xml:space="preserve">ε</m:t>
                        </m:r>
                      </m:e>
                      <m:sub>
                        <m:r>
                          <m:t xml:space="preserve">t</m:t>
                        </m:r>
                      </m:sub>
                    </m:sSub>
                    <m:r>
                      <m:t xml:space="preserve">−</m:t>
                    </m:r>
                    <m:acc>
                      <m:accPr>
                        <m:chr m:val="¯"/>
                      </m:accPr>
                      <m:e>
                        <m:r>
                          <m:t xml:space="preserve">ε</m:t>
                        </m:r>
                      </m:e>
                    </m:acc>
                  </m:e>
                </m:d>
              </m:e>
              <m:sup>
                <m:r>
                  <m:t xml:space="preserve">2</m:t>
                </m:r>
              </m:sup>
            </m:sSup>
          </m:e>
          <m:e>
            <m:sSup>
              <m:e>
                <m:r>
                  <m:t xml:space="preserve">σ</m:t>
                </m:r>
              </m:e>
              <m:sup>
                <m:r>
                  <m:t xml:space="preserve">2</m:t>
                </m:r>
              </m:sup>
            </m:sSup>
            <m:d>
              <m:dPr>
                <m:begChr m:val="("/>
                <m:endChr m:val=")"/>
              </m:dPr>
              <m:e>
                <m:sSubSup>
                  <m:e>
                    <m:r>
                      <m:t xml:space="preserve">ε</m:t>
                    </m:r>
                  </m:e>
                  <m:sub>
                    <m:r>
                      <m:t xml:space="preserve">t</m:t>
                    </m:r>
                  </m:sub>
                  <m:sup>
                    <m:r>
                      <m:t xml:space="preserve">2</m:t>
                    </m:r>
                  </m:sup>
                </m:sSubSup>
                <m:r>
                  <m:t xml:space="preserve">−</m:t>
                </m:r>
                <m:r>
                  <m:t xml:space="preserve">2</m:t>
                </m:r>
                <m:sSub>
                  <m:e>
                    <m:r>
                      <m:t xml:space="preserve">ε</m:t>
                    </m:r>
                  </m:e>
                  <m:sub>
                    <m:r>
                      <m:t xml:space="preserve">t</m:t>
                    </m:r>
                  </m:sub>
                </m:sSub>
                <m:acc>
                  <m:accPr>
                    <m:chr m:val="¯"/>
                  </m:accPr>
                  <m:e>
                    <m:r>
                      <m:t xml:space="preserve">ε</m:t>
                    </m:r>
                  </m:e>
                </m:acc>
                <m:r>
                  <m:t xml:space="preserve">+</m:t>
                </m:r>
                <m:sSup>
                  <m:e>
                    <m:acc>
                      <m:accPr>
                        <m:chr m:val="¯"/>
                      </m:accPr>
                      <m:e>
                        <m:r>
                          <m:t xml:space="preserve">ε</m:t>
                        </m:r>
                      </m:e>
                    </m:acc>
                  </m:e>
                  <m:sup>
                    <m:r>
                      <m:t xml:space="preserve">2</m:t>
                    </m:r>
                  </m:sup>
                </m:sSup>
              </m:e>
            </m:d>
          </m:e>
        </m:eqArr>
      </m:oMath>
      <w:r>
        <w:rPr>
          <w:color w:val="000000"/>
        </w:rPr>
        <w:tab/>
        <w:t>(3.28)</w:t>
      </w:r>
    </w:p>
    <w:p>
      <w:pPr>
        <w:pStyle w:val="Normal"/>
        <w:rPr>
          <w:color w:val="000000"/>
        </w:rPr>
      </w:pPr>
      <w:r>
        <w:rPr>
          <w:color w:val="000000"/>
        </w:rPr>
      </w:r>
    </w:p>
    <w:p>
      <w:pPr>
        <w:pStyle w:val="Normal"/>
        <w:rPr>
          <w:color w:val="000000"/>
        </w:rPr>
      </w:pPr>
      <w:r>
        <w:rPr>
          <w:color w:val="000000"/>
        </w:rPr>
        <w:t>Taking the sum over all observations yields;</w:t>
      </w:r>
    </w:p>
    <w:p>
      <w:pPr>
        <w:pStyle w:val="Header"/>
        <w:tabs>
          <w:tab w:val="clear" w:pos="4320"/>
          <w:tab w:val="clear" w:pos="8640"/>
        </w:tabs>
        <w:rPr>
          <w:color w:val="000000"/>
        </w:rPr>
      </w:pPr>
      <w:r>
        <w:rPr>
          <w:color w:val="000000"/>
        </w:rPr>
      </w:r>
    </w:p>
    <w:p>
      <w:pPr>
        <w:pStyle w:val="Equation"/>
        <w:rPr/>
      </w:pPr>
      <w:r>
        <w:rPr>
          <w:i/>
          <w:color w:val="000000"/>
        </w:rPr>
        <w:tab/>
      </w:r>
      <w:r>
        <w:rPr>
          <w:color w:val="000000"/>
        </w:rPr>
      </w:r>
      <m:oMath xmlns:m="http://schemas.openxmlformats.org/officeDocument/2006/math">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r>
          <m:t xml:space="preserve">=</m:t>
        </m:r>
        <m:sSup>
          <m:e>
            <m:r>
              <m:t xml:space="preserve">σ</m:t>
            </m:r>
          </m:e>
          <m:sup>
            <m:r>
              <m:t xml:space="preserve">2</m:t>
            </m:r>
          </m:sup>
        </m:sSup>
        <m:d>
          <m:dPr>
            <m:begChr m:val="("/>
            <m:endChr m:val=")"/>
          </m:dPr>
          <m:e>
            <m:nary>
              <m:naryPr>
                <m:chr m:val="∑"/>
              </m:naryPr>
              <m:sub>
                <m:r>
                  <m:t xml:space="preserve">t</m:t>
                </m:r>
                <m:r>
                  <m:t xml:space="preserve">=</m:t>
                </m:r>
                <m:r>
                  <m:t xml:space="preserve">1</m:t>
                </m:r>
              </m:sub>
              <m:sup>
                <m:r>
                  <m:t xml:space="preserve">N</m:t>
                </m:r>
              </m:sup>
              <m:e>
                <m:sSubSup>
                  <m:e>
                    <m:r>
                      <m:t xml:space="preserve">ε</m:t>
                    </m:r>
                  </m:e>
                  <m:sub>
                    <m:r>
                      <m:t xml:space="preserve">t</m:t>
                    </m:r>
                  </m:sub>
                  <m:sup>
                    <m:r>
                      <m:t xml:space="preserve">2</m:t>
                    </m:r>
                  </m:sup>
                </m:sSubSup>
              </m:e>
            </m:nary>
            <m:r>
              <m:t xml:space="preserve">−</m:t>
            </m:r>
            <m:r>
              <m:t xml:space="preserve">N</m:t>
            </m:r>
            <m:sSup>
              <m:e>
                <m:acc>
                  <m:accPr>
                    <m:chr m:val="¯"/>
                  </m:accPr>
                  <m:e>
                    <m:r>
                      <m:t xml:space="preserve">ε</m:t>
                    </m:r>
                  </m:e>
                </m:acc>
              </m:e>
              <m:sup>
                <m:r>
                  <m:t xml:space="preserve">2</m:t>
                </m:r>
              </m:sup>
            </m:sSup>
          </m:e>
        </m:d>
      </m:oMath>
      <w:r>
        <w:rPr>
          <w:color w:val="000000"/>
        </w:rPr>
        <w:tab/>
        <w:t>(3.29)</w:t>
      </w:r>
    </w:p>
    <w:p>
      <w:pPr>
        <w:pStyle w:val="Normal"/>
        <w:rPr>
          <w:color w:val="000000"/>
        </w:rPr>
      </w:pPr>
      <w:r>
        <w:rPr>
          <w:color w:val="000000"/>
        </w:rPr>
      </w:r>
    </w:p>
    <w:p>
      <w:pPr>
        <w:pStyle w:val="Normal"/>
        <w:rPr/>
      </w:pPr>
      <w:r>
        <w:rPr>
          <w:color w:val="000000"/>
        </w:rPr>
        <w:t>The shocks</w:t>
      </w:r>
      <w:r>
        <w:rPr>
          <w:color w:val="000000"/>
        </w:rPr>
      </w:r>
      <m:oMath xmlns:m="http://schemas.openxmlformats.org/officeDocument/2006/math">
        <m:sSub>
          <m:e>
            <m:r>
              <m:t xml:space="preserve">ε</m:t>
            </m:r>
          </m:e>
          <m:sub>
            <m:r>
              <m:t xml:space="preserve">t</m:t>
            </m:r>
          </m:sub>
        </m:sSub>
      </m:oMath>
      <w:r>
        <w:rPr>
          <w:color w:val="000000"/>
        </w:rPr>
        <w:t xml:space="preserve">are distributed normally as </w:t>
      </w:r>
      <w:r>
        <w:rPr>
          <w:i/>
          <w:iCs/>
          <w:color w:val="000000"/>
        </w:rPr>
        <w:t>N</w:t>
      </w:r>
      <w:r>
        <w:rPr>
          <w:color w:val="000000"/>
        </w:rPr>
        <w:t xml:space="preserve">(0,1) and are independent, which implies that </w:t>
      </w:r>
      <w:r>
        <w:rPr>
          <w:color w:val="000000"/>
        </w:rPr>
      </w:r>
      <m:oMath xmlns:m="http://schemas.openxmlformats.org/officeDocument/2006/math">
        <m:r>
          <m:t xml:space="preserve">E</m:t>
        </m:r>
        <m:d>
          <m:dPr>
            <m:begChr m:val="("/>
            <m:endChr m:val=")"/>
          </m:dPr>
          <m:e>
            <m:sSub>
              <m:e>
                <m:r>
                  <m:t xml:space="preserve">ε</m:t>
                </m:r>
              </m:e>
              <m:sub>
                <m:r>
                  <m:t xml:space="preserve">i</m:t>
                </m:r>
              </m:sub>
            </m:sSub>
            <m:sSub>
              <m:e>
                <m:r>
                  <m:t xml:space="preserve">ε</m:t>
                </m:r>
              </m:e>
              <m:sub>
                <m:r>
                  <m:t xml:space="preserve">j</m:t>
                </m:r>
              </m:sub>
            </m:sSub>
          </m:e>
        </m:d>
        <m:r>
          <m:t xml:space="preserve">=</m:t>
        </m:r>
        <m:sSub>
          <m:e>
            <m:r>
              <m:t xml:space="preserve">δ</m:t>
            </m:r>
          </m:e>
          <m:sub>
            <m:r>
              <m:rPr>
                <m:lit/>
                <m:nor/>
              </m:rPr>
              <m:t xml:space="preserve">ij</m:t>
            </m:r>
          </m:sub>
        </m:sSub>
      </m:oMath>
      <w:r>
        <w:rPr>
          <w:color w:val="000000"/>
        </w:rPr>
        <w:t>.  Therefore, we arrive finally at</w:t>
      </w:r>
    </w:p>
    <w:p>
      <w:pPr>
        <w:pStyle w:val="Normal"/>
        <w:rPr>
          <w:color w:val="000000"/>
        </w:rPr>
      </w:pPr>
      <w:r>
        <w:rPr>
          <w:color w:val="000000"/>
        </w:rPr>
      </w:r>
      <w:bookmarkStart w:id="19" w:name="_Ref486089944"/>
      <w:bookmarkStart w:id="20" w:name="_Ref486089944"/>
      <w:bookmarkEnd w:id="20"/>
    </w:p>
    <w:p>
      <w:pPr>
        <w:pStyle w:val="Equation"/>
        <w:rPr/>
      </w:pPr>
      <w:bookmarkStart w:id="21" w:name="_Ref486089944"/>
      <w:bookmarkEnd w:id="21"/>
      <w:r>
        <w:rPr>
          <w:i/>
          <w:color w:val="000000"/>
        </w:rPr>
        <w:tab/>
      </w:r>
      <w:r>
        <w:rPr>
          <w:color w:val="000000"/>
        </w:rPr>
      </w:r>
      <m:oMath xmlns:m="http://schemas.openxmlformats.org/officeDocument/2006/math">
        <m:eqArr>
          <m:e>
            <m:r>
              <m:t xml:space="preserve">E</m:t>
            </m:r>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r>
              <m:t xml:space="preserve">=</m:t>
            </m:r>
            <m:sSup>
              <m:e>
                <m:r>
                  <m:t xml:space="preserve">σ</m:t>
                </m:r>
              </m:e>
              <m:sup>
                <m:r>
                  <m:t xml:space="preserve">2</m:t>
                </m:r>
              </m:sup>
            </m:sSup>
            <m:d>
              <m:dPr>
                <m:begChr m:val="("/>
                <m:endChr m:val=")"/>
              </m:dPr>
              <m:e>
                <m:r>
                  <m:t xml:space="preserve">N</m:t>
                </m:r>
                <m:r>
                  <m:t xml:space="preserve">−</m:t>
                </m:r>
                <m:r>
                  <m:t xml:space="preserve">1</m:t>
                </m:r>
              </m:e>
            </m:d>
          </m:e>
          <m:e>
            <m:r>
              <m:t xml:space="preserve">σ</m:t>
            </m:r>
            <m:r>
              <m:t xml:space="preserve">=</m:t>
            </m:r>
            <m:rad>
              <m:radPr>
                <m:degHide m:val="1"/>
              </m:radPr>
              <m:deg/>
              <m:e>
                <m:f>
                  <m:num>
                    <m:r>
                      <m:t xml:space="preserve">1</m:t>
                    </m:r>
                  </m:num>
                  <m:den>
                    <m:r>
                      <m:t xml:space="preserve">N</m:t>
                    </m:r>
                    <m:r>
                      <m:t xml:space="preserve">−</m:t>
                    </m:r>
                    <m:r>
                      <m:t xml:space="preserve">1</m:t>
                    </m:r>
                  </m:den>
                </m:f>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e>
            </m:rad>
          </m:e>
        </m:eqArr>
      </m:oMath>
      <w:r>
        <w:rPr>
          <w:color w:val="000000"/>
        </w:rPr>
        <w:tab/>
        <w:t>(3.30)</w:t>
      </w:r>
    </w:p>
    <w:p>
      <w:pPr>
        <w:pStyle w:val="Normal"/>
        <w:rPr>
          <w:color w:val="000000"/>
        </w:rPr>
      </w:pPr>
      <w:r>
        <w:rPr>
          <w:color w:val="000000"/>
        </w:rPr>
      </w:r>
    </w:p>
    <w:p>
      <w:pPr>
        <w:pStyle w:val="Normal"/>
        <w:rPr/>
      </w:pPr>
      <w:r>
        <w:rPr>
          <w:color w:val="000000"/>
        </w:rPr>
        <w:t xml:space="preserve">which, of course, is the common definition for standard deviation.  If the stochastic equation (3.21) had </w:t>
      </w:r>
      <w:r>
        <w:rPr>
          <w:i/>
          <w:iCs/>
          <w:color w:val="000000"/>
        </w:rPr>
        <w:t>p</w:t>
      </w:r>
      <w:r>
        <w:rPr>
          <w:color w:val="000000"/>
        </w:rPr>
        <w:t xml:space="preserve"> parameters rather than just one, it can be shown through a similar analysis that the OLS estimate for </w:t>
      </w:r>
      <w:r>
        <w:rPr>
          <w:rFonts w:eastAsia="Symbol" w:cs="Symbol" w:ascii="Symbol" w:hAnsi="Symbol"/>
          <w:color w:val="000000"/>
        </w:rPr>
        <w:sym w:font="Symbol" w:char="f073"/>
      </w:r>
      <w:r>
        <w:rPr>
          <w:color w:val="000000"/>
        </w:rPr>
        <w:t xml:space="preserve"> in this case would be equation (3.30) with the denominator </w:t>
      </w:r>
      <w:r>
        <w:rPr>
          <w:i/>
          <w:iCs/>
          <w:color w:val="000000"/>
        </w:rPr>
        <w:t>N</w:t>
      </w:r>
      <w:r>
        <w:rPr>
          <w:color w:val="000000"/>
        </w:rPr>
        <w:t xml:space="preserve"> - 1 replaced by </w:t>
      </w:r>
      <w:r>
        <w:rPr>
          <w:i/>
          <w:iCs/>
          <w:color w:val="000000"/>
        </w:rPr>
        <w:t>N</w:t>
      </w:r>
      <w:r>
        <w:rPr>
          <w:color w:val="000000"/>
        </w:rPr>
        <w:t xml:space="preserve"> - </w:t>
      </w:r>
      <w:r>
        <w:rPr>
          <w:i/>
          <w:iCs/>
          <w:color w:val="000000"/>
        </w:rPr>
        <w:t>p</w:t>
      </w:r>
      <w:r>
        <w:rPr>
          <w:color w:val="000000"/>
        </w:rPr>
        <w:t>.</w:t>
      </w:r>
    </w:p>
    <w:p>
      <w:pPr>
        <w:pStyle w:val="Header"/>
        <w:tabs>
          <w:tab w:val="clear" w:pos="4320"/>
          <w:tab w:val="clear" w:pos="8640"/>
        </w:tabs>
        <w:rPr>
          <w:color w:val="000000"/>
        </w:rPr>
      </w:pPr>
      <w:r>
        <w:rPr>
          <w:color w:val="000000"/>
        </w:rPr>
      </w:r>
    </w:p>
    <w:p>
      <w:pPr>
        <w:pStyle w:val="Normal"/>
        <w:rPr>
          <w:color w:val="000000"/>
        </w:rPr>
      </w:pPr>
      <w:r>
        <w:rPr>
          <w:color w:val="000000"/>
        </w:rPr>
        <w:t>OLS estimators have the desirable properties of unbiasedness, consistency, and efficiency for a variety of problems, however, in the case of heteroskedastic systems, OLS estimators are not generally efficient, therefore other methods are often employed to provide estimates.</w:t>
      </w:r>
    </w:p>
    <w:p>
      <w:pPr>
        <w:pStyle w:val="Normal"/>
        <w:rPr>
          <w:color w:val="000000"/>
        </w:rPr>
      </w:pPr>
      <w:r>
        <w:rPr>
          <w:color w:val="000000"/>
        </w:rPr>
      </w:r>
    </w:p>
    <w:p>
      <w:pPr>
        <w:pStyle w:val="Heading3"/>
        <w:ind w:hanging="0" w:start="0"/>
        <w:rPr>
          <w:color w:val="000000"/>
        </w:rPr>
      </w:pPr>
      <w:r>
        <w:rPr>
          <w:color w:val="000000"/>
        </w:rPr>
        <w:t>3.4.3</w:t>
        <w:tab/>
        <w:t>Maximum Likelihood</w:t>
      </w:r>
    </w:p>
    <w:p>
      <w:pPr>
        <w:pStyle w:val="Normal"/>
        <w:rPr>
          <w:color w:val="000000"/>
        </w:rPr>
      </w:pPr>
      <w:r>
        <w:rPr>
          <w:color w:val="000000"/>
        </w:rPr>
      </w:r>
    </w:p>
    <w:p>
      <w:pPr>
        <w:pStyle w:val="Normal"/>
        <w:rPr/>
      </w:pPr>
      <w:r>
        <w:rPr>
          <w:color w:val="000000"/>
        </w:rPr>
        <w:t xml:space="preserve">Recall from section 2.11 that maximum likelihood is a powerful and general estimation method.  In this section we apply the method to volatility estimation and start by explaining the principle with an example.  Starting with the pure diffusion process, and to emphasize that the right-hand side of the equation is a normally distributed random number with a mean of zero and </w:t>
      </w:r>
      <w:r>
        <w:rPr>
          <w:rFonts w:eastAsia="Symbol" w:cs="Symbol" w:ascii="Symbol" w:hAnsi="Symbol"/>
          <w:color w:val="000000"/>
        </w:rPr>
        <w:sym w:font="Symbol" w:char="f073"/>
      </w:r>
      <w:r>
        <w:rPr>
          <w:color w:val="000000"/>
          <w:vertAlign w:val="superscript"/>
        </w:rPr>
        <w:t>2</w:t>
      </w:r>
      <w:r>
        <w:rPr>
          <w:color w:val="000000"/>
        </w:rPr>
        <w:t xml:space="preserve"> variance we recast equation (3.13) as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oMath>
      <w:r>
        <w:rPr>
          <w:color w:val="000000"/>
        </w:rPr>
        <w:tab/>
        <w:t>(3.31)</w:t>
      </w:r>
    </w:p>
    <w:p>
      <w:pPr>
        <w:pStyle w:val="Normal"/>
        <w:rPr>
          <w:color w:val="000000"/>
        </w:rPr>
      </w:pPr>
      <w:r>
        <w:rPr>
          <w:color w:val="000000"/>
        </w:rPr>
      </w:r>
    </w:p>
    <w:p>
      <w:pPr>
        <w:pStyle w:val="Normal"/>
        <w:rPr/>
      </w:pPr>
      <w:r>
        <w:rPr>
          <w:color w:val="000000"/>
        </w:rPr>
        <w:t xml:space="preserve">The density function for each innovation </w:t>
      </w:r>
      <w:r>
        <w:rPr>
          <w:rFonts w:eastAsia="Symbol" w:cs="Symbol" w:ascii="Symbol" w:hAnsi="Symbol"/>
          <w:color w:val="000000"/>
        </w:rPr>
        <w:sym w:font="Symbol" w:char="f073"/>
        <w:sym w:font="Symbol" w:char="f065"/>
      </w:r>
      <w:r>
        <w:rPr>
          <w:i/>
          <w:iCs/>
          <w:color w:val="000000"/>
          <w:vertAlign w:val="subscript"/>
        </w:rPr>
        <w:t>t</w:t>
      </w:r>
      <w:r>
        <w:rPr>
          <w:color w:val="000000"/>
        </w:rPr>
        <w:t xml:space="preserve"> is then,</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p</m:t>
        </m:r>
        <m:d>
          <m:dPr>
            <m:begChr m:val="("/>
            <m:endChr m:val=")"/>
          </m:dPr>
          <m:e>
            <m:sSub>
              <m:e>
                <m:r>
                  <m:t xml:space="preserve">y</m:t>
                </m:r>
              </m:e>
              <m:sub>
                <m:r>
                  <m:t xml:space="preserve">t</m:t>
                </m:r>
              </m:sub>
            </m:sSub>
            <m:r>
              <m:t xml:space="preserve">;</m:t>
            </m:r>
            <m:r>
              <m:t xml:space="preserve">κ</m:t>
            </m:r>
            <m:r>
              <m:t xml:space="preserve">,</m:t>
            </m:r>
            <m:r>
              <m:t xml:space="preserve">σ</m:t>
            </m:r>
          </m:e>
        </m:d>
        <m:r>
          <m:t xml:space="preserve">=</m:t>
        </m:r>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oMath>
      <w:r>
        <w:rPr>
          <w:color w:val="000000"/>
        </w:rPr>
        <w:tab/>
        <w:t>(3.32)</w:t>
      </w:r>
    </w:p>
    <w:p>
      <w:pPr>
        <w:pStyle w:val="Normal"/>
        <w:rPr>
          <w:color w:val="000000"/>
        </w:rPr>
      </w:pPr>
      <w:r>
        <w:rPr>
          <w:color w:val="000000"/>
        </w:rPr>
      </w:r>
    </w:p>
    <w:p>
      <w:pPr>
        <w:pStyle w:val="Normal"/>
        <w:rPr/>
      </w:pPr>
      <w:r>
        <w:rPr>
          <w:color w:val="000000"/>
        </w:rPr>
        <w:t xml:space="preserve">Because they are independent, the joint distribution for this set of </w:t>
      </w:r>
      <w:r>
        <w:rPr>
          <w:i/>
          <w:iCs/>
          <w:color w:val="000000"/>
        </w:rPr>
        <w:t>N</w:t>
      </w:r>
      <w:r>
        <w:rPr>
          <w:color w:val="000000"/>
        </w:rPr>
        <w:t xml:space="preserve"> numbers is </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p</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nary>
          <m:naryPr>
            <m:chr m:val="∏"/>
          </m:naryPr>
          <m:sub>
            <m:r>
              <m:t xml:space="preserve">t</m:t>
            </m:r>
            <m:r>
              <m:t xml:space="preserve">=</m:t>
            </m:r>
            <m:r>
              <m:t xml:space="preserve">1</m:t>
            </m:r>
          </m:sub>
          <m:sup>
            <m:r>
              <m:t xml:space="preserve">N</m:t>
            </m:r>
          </m:sup>
          <m:e>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e>
        </m:nary>
      </m:oMath>
      <w:r>
        <w:rPr>
          <w:color w:val="000000"/>
        </w:rPr>
        <w:tab/>
        <w:t>(3.33)</w:t>
      </w:r>
    </w:p>
    <w:p>
      <w:pPr>
        <w:pStyle w:val="Normal"/>
        <w:rPr>
          <w:color w:val="000000"/>
        </w:rPr>
      </w:pPr>
      <w:r>
        <w:rPr>
          <w:color w:val="000000"/>
        </w:rPr>
      </w:r>
    </w:p>
    <w:p>
      <w:pPr>
        <w:pStyle w:val="Normal"/>
        <w:rPr>
          <w:color w:val="000000"/>
        </w:rPr>
      </w:pPr>
      <w:r>
        <w:rPr>
          <w:color w:val="000000"/>
        </w:rPr>
        <w:t>This function represents the probability or likelihood that we would draw exactly this set of numbers.  For this reason, the joint density is typically called the likelihood function and is written as</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Θ</m:t>
            </m:r>
          </m:e>
        </m:d>
        <m:r>
          <m:t xml:space="preserve">=</m:t>
        </m:r>
        <m:r>
          <m:t xml:space="preserve">p</m:t>
        </m:r>
        <m:d>
          <m:dPr>
            <m:begChr m:val="("/>
            <m:endChr m:val=")"/>
          </m:dPr>
          <m:e>
            <m:d>
              <m:dPr>
                <m:begChr m:val="{"/>
                <m:endChr m:val="}"/>
              </m:dPr>
              <m:e>
                <m:sSub>
                  <m:e>
                    <m:r>
                      <m:t xml:space="preserve">y</m:t>
                    </m:r>
                  </m:e>
                  <m:sub>
                    <m:r>
                      <m:t xml:space="preserve">t</m:t>
                    </m:r>
                  </m:sub>
                </m:sSub>
              </m:e>
            </m:d>
            <m:r>
              <m:t xml:space="preserve">;</m:t>
            </m:r>
            <m:r>
              <m:t xml:space="preserve">Θ</m:t>
            </m:r>
          </m:e>
        </m:d>
      </m:oMath>
      <w:r>
        <w:rPr>
          <w:color w:val="000000"/>
        </w:rPr>
        <w:tab/>
        <w:t>(3.34)</w:t>
      </w:r>
    </w:p>
    <w:p>
      <w:pPr>
        <w:pStyle w:val="Normal"/>
        <w:rPr>
          <w:color w:val="000000"/>
        </w:rPr>
      </w:pPr>
      <w:r>
        <w:rPr>
          <w:color w:val="000000"/>
        </w:rPr>
      </w:r>
    </w:p>
    <w:p>
      <w:pPr>
        <w:pStyle w:val="Normal"/>
        <w:rPr/>
      </w:pPr>
      <w:r>
        <w:rPr>
          <w:color w:val="000000"/>
        </w:rPr>
        <w:t>to emphasize that its value, given a set {y</w:t>
      </w:r>
      <w:r>
        <w:rPr>
          <w:i/>
          <w:iCs/>
          <w:color w:val="000000"/>
          <w:vertAlign w:val="subscript"/>
        </w:rPr>
        <w:t>t</w:t>
      </w:r>
      <w:r>
        <w:rPr>
          <w:color w:val="000000"/>
        </w:rPr>
        <w:t xml:space="preserve">} of observations, depends on the distribution’s parameters </w:t>
      </w:r>
      <w:r>
        <w:rPr>
          <w:rFonts w:eastAsia="Symbol" w:cs="Symbol" w:ascii="Symbol" w:hAnsi="Symbol"/>
          <w:color w:val="000000"/>
        </w:rPr>
        <w:sym w:font="Symbol" w:char="f051"/>
      </w:r>
      <w:r>
        <w:rPr>
          <w:color w:val="000000"/>
        </w:rPr>
        <w:t xml:space="preserve">.  With this definition, we can now turn the process around.  We now hypothesize that this set of numbers is drawn from a normal distribution of unknown mean and variance and ask the following question.  From what distribution is it most likely that these numbers were drawn, or, put another way, which values of </w:t>
      </w:r>
      <w:r>
        <w:rPr>
          <w:rFonts w:eastAsia="Symbol" w:cs="Symbol" w:ascii="Symbol" w:hAnsi="Symbol"/>
          <w:color w:val="000000"/>
        </w:rPr>
        <w:sym w:font="Symbol" w:char="f06d"/>
      </w:r>
      <w:r>
        <w:rPr>
          <w:color w:val="000000"/>
        </w:rPr>
        <w:t xml:space="preserve"> and </w:t>
      </w:r>
      <w:r>
        <w:rPr>
          <w:rFonts w:eastAsia="Symbol" w:cs="Symbol" w:ascii="Symbol" w:hAnsi="Symbol"/>
          <w:color w:val="000000"/>
        </w:rPr>
        <w:sym w:font="Symbol" w:char="f073"/>
      </w:r>
      <w:r>
        <w:rPr>
          <w:color w:val="000000"/>
          <w:vertAlign w:val="superscript"/>
        </w:rPr>
        <w:t>2</w:t>
      </w:r>
      <w:r>
        <w:rPr>
          <w:color w:val="000000"/>
        </w:rPr>
        <w:t xml:space="preserve"> define the distribution that has the maximum likelihood of producing this set of numbers?  The answer is found by maximizing the likelihood function with respect to the model parameters.  As before, this is accomplished by setting the gradient with respect to the regression parameters equal to zero and solving for the parameter value.  For example, </w:t>
      </w:r>
    </w:p>
    <w:p>
      <w:pPr>
        <w:pStyle w:val="Normal"/>
        <w:rPr>
          <w:color w:val="000000"/>
        </w:rPr>
      </w:pPr>
      <w:r>
        <w:rPr>
          <w:color w:val="000000"/>
        </w:rPr>
      </w:r>
      <w:bookmarkStart w:id="22" w:name="_Ref486090586"/>
      <w:bookmarkStart w:id="23" w:name="_Ref486090586"/>
      <w:bookmarkEnd w:id="23"/>
    </w:p>
    <w:p>
      <w:pPr>
        <w:pStyle w:val="Equation"/>
        <w:rPr/>
      </w:pPr>
      <w:r>
        <w:rPr/>
        <w:tab/>
      </w:r>
      <w:r>
        <w:rPr/>
      </w:r>
      <m:oMath xmlns:m="http://schemas.openxmlformats.org/officeDocument/2006/math">
        <m:r>
          <m:rPr>
            <m:lit/>
            <m:nor/>
          </m:rPr>
          <m:t xml:space="preserve">ln</m:t>
        </m:r>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r>
          <m:t xml:space="preserve">−</m:t>
        </m:r>
        <m:f>
          <m:num>
            <m:r>
              <m:t xml:space="preserve">N</m:t>
            </m:r>
          </m:num>
          <m:den>
            <m:r>
              <m:t xml:space="preserve">2</m:t>
            </m:r>
          </m:den>
        </m:f>
        <m:r>
          <m:rPr>
            <m:lit/>
            <m:nor/>
          </m:rPr>
          <m:t xml:space="preserve">ln</m:t>
        </m:r>
        <m:r>
          <m:t xml:space="preserve">(</m:t>
        </m:r>
        <m:r>
          <m:t xml:space="preserve">2</m:t>
        </m:r>
        <m:r>
          <m:t xml:space="preserve">π</m:t>
        </m:r>
        <m:r>
          <m:t xml:space="preserve">)</m:t>
        </m:r>
        <m:r>
          <m:t xml:space="preserve">−</m:t>
        </m:r>
        <m:f>
          <m:num>
            <m:r>
              <m:t xml:space="preserve">N</m:t>
            </m:r>
          </m:num>
          <m:den>
            <m:r>
              <m:t xml:space="preserve">2</m:t>
            </m:r>
          </m:den>
        </m:f>
        <m:r>
          <m:rPr>
            <m:lit/>
            <m:nor/>
          </m:rPr>
          <m:t xml:space="preserve">ln</m:t>
        </m:r>
        <m:sSup>
          <m:e>
            <m:r>
              <m:t xml:space="preserve">σ</m:t>
            </m:r>
          </m:e>
          <m:sup>
            <m:r>
              <m:t xml:space="preserve">2</m:t>
            </m:r>
          </m:sup>
        </m:sSup>
        <m:r>
          <m:t xml:space="preserve">−</m:t>
        </m:r>
        <m:f>
          <m:num>
            <m:r>
              <m:t xml:space="preserve">1</m:t>
            </m:r>
          </m:num>
          <m:den>
            <m:r>
              <m:t xml:space="preserve">2</m:t>
            </m:r>
          </m:den>
        </m:f>
        <m:nary>
          <m:naryPr>
            <m:chr m:val="∑"/>
          </m:naryPr>
          <m:sub>
            <m:r>
              <m:t xml:space="preserve">t</m:t>
            </m:r>
            <m:r>
              <m:t xml:space="preserve">=</m:t>
            </m:r>
            <m:r>
              <m:t xml:space="preserve">1</m:t>
            </m:r>
          </m:sub>
          <m:sup>
            <m:r>
              <m:t xml:space="preserve">N</m:t>
            </m:r>
          </m:sup>
          <m:e>
            <m:d>
              <m:dPr>
                <m:begChr m:val="["/>
                <m:endChr m:val="]"/>
              </m:dPr>
              <m:e>
                <m:f>
                  <m:num>
                    <m:sSup>
                      <m:e>
                        <m:d>
                          <m:dPr>
                            <m:begChr m:val="("/>
                            <m:endChr m:val=")"/>
                          </m:dPr>
                          <m:e>
                            <m:sSub>
                              <m:e>
                                <m:r>
                                  <m:t xml:space="preserve">y</m:t>
                                </m:r>
                              </m:e>
                              <m:sub>
                                <m:r>
                                  <m:t xml:space="preserve">t</m:t>
                                </m:r>
                              </m:sub>
                            </m:sSub>
                            <m:r>
                              <m:t xml:space="preserve">−</m:t>
                            </m:r>
                            <m:r>
                              <m:t xml:space="preserve">κ</m:t>
                            </m:r>
                          </m:e>
                        </m:d>
                      </m:e>
                      <m:sup>
                        <m:r>
                          <m:t xml:space="preserve">2</m:t>
                        </m:r>
                      </m:sup>
                    </m:sSup>
                  </m:num>
                  <m:den>
                    <m:sSup>
                      <m:e>
                        <m:r>
                          <m:t xml:space="preserve">σ</m:t>
                        </m:r>
                      </m:e>
                      <m:sup>
                        <m:r>
                          <m:t xml:space="preserve">2</m:t>
                        </m:r>
                      </m:sup>
                    </m:sSup>
                  </m:den>
                </m:f>
              </m:e>
            </m:d>
          </m:e>
        </m:nary>
      </m:oMath>
      <w:r>
        <w:rPr/>
        <w:tab/>
        <w:t>(3.35a)</w:t>
      </w:r>
    </w:p>
    <w:p>
      <w:pPr>
        <w:pStyle w:val="Equation"/>
        <w:rPr>
          <w:color w:val="000000"/>
        </w:rPr>
      </w:pPr>
      <w:r>
        <w:rPr/>
        <w:tab/>
      </w:r>
      <w:r>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κ</m:t>
            </m:r>
          </m:den>
        </m:f>
        <m:r>
          <m:t xml:space="preserve">=</m:t>
        </m:r>
        <m:f>
          <m:num>
            <m:r>
              <m:t xml:space="preserve">1</m:t>
            </m:r>
          </m:num>
          <m:den>
            <m:sSup>
              <m:e>
                <m:r>
                  <m:t xml:space="preserve">σ</m:t>
                </m:r>
              </m:e>
              <m:sup>
                <m:r>
                  <m:t xml:space="preserve">2</m:t>
                </m:r>
              </m:sup>
            </m:sSup>
          </m:den>
        </m:f>
        <m:nary>
          <m:naryPr>
            <m:chr m:val="∑"/>
          </m:naryPr>
          <m:sub>
            <m:r>
              <m:t xml:space="preserve">t</m:t>
            </m:r>
            <m:r>
              <m:t xml:space="preserve">=</m:t>
            </m:r>
            <m:r>
              <m:t xml:space="preserve">1</m:t>
            </m:r>
          </m:sub>
          <m:sup>
            <m:r>
              <m:t xml:space="preserve">N</m:t>
            </m:r>
          </m:sup>
          <m:e>
            <m:d>
              <m:dPr>
                <m:begChr m:val="("/>
                <m:endChr m:val=")"/>
              </m:dPr>
              <m:e>
                <m:sSub>
                  <m:e>
                    <m:r>
                      <m:t xml:space="preserve">y</m:t>
                    </m:r>
                  </m:e>
                  <m:sub>
                    <m:r>
                      <m:t xml:space="preserve">t</m:t>
                    </m:r>
                  </m:sub>
                </m:sSub>
                <m:r>
                  <m:t xml:space="preserve">−</m:t>
                </m:r>
                <m:r>
                  <m:t xml:space="preserve">κ</m:t>
                </m:r>
              </m:e>
            </m:d>
          </m:e>
        </m:nary>
        <m:r>
          <m:t xml:space="preserve">=</m:t>
        </m:r>
        <m:r>
          <m:t xml:space="preserve">0</m:t>
        </m:r>
      </m:oMath>
      <w:r>
        <w:rPr/>
        <w:tab/>
        <w:t>(3.35b)</w:t>
      </w:r>
    </w:p>
    <w:p>
      <w:pPr>
        <w:pStyle w:val="Equation"/>
        <w:rPr/>
      </w:pPr>
      <w:bookmarkStart w:id="24" w:name="_Ref486090586"/>
      <w:bookmarkEnd w:id="24"/>
      <w:r>
        <w:rPr>
          <w:i/>
          <w:color w:val="000000"/>
        </w:rPr>
        <w:tab/>
      </w:r>
      <w:r>
        <w:rPr>
          <w:color w:val="000000"/>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oMath>
      <w:r>
        <w:rPr>
          <w:color w:val="000000"/>
        </w:rPr>
        <w:tab/>
        <w:t>(3.35c)</w:t>
      </w:r>
    </w:p>
    <w:p>
      <w:pPr>
        <w:pStyle w:val="Normal"/>
        <w:rPr>
          <w:color w:val="000000"/>
        </w:rPr>
      </w:pPr>
      <w:r>
        <w:rPr>
          <w:color w:val="000000"/>
        </w:rPr>
      </w:r>
    </w:p>
    <w:p>
      <w:pPr>
        <w:pStyle w:val="Normal"/>
        <w:rPr/>
      </w:pPr>
      <w:r>
        <w:rPr>
          <w:color w:val="000000"/>
        </w:rPr>
        <w:t>Note the use of the log likelihood function ln</w:t>
      </w:r>
      <w:r>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oMath>
      <w:r>
        <w:rPr>
          <w:color w:val="000000"/>
        </w:rPr>
        <w:t>.  This is a common practice because the natural log is typically easier to treat mathematically and computationally, and parameters that maximize the log likelihood are guaranteed to maximize the likelihood function as well.</w:t>
      </w:r>
    </w:p>
    <w:p>
      <w:pPr>
        <w:pStyle w:val="Normal"/>
        <w:rPr>
          <w:color w:val="000000"/>
        </w:rPr>
      </w:pPr>
      <w:r>
        <w:rPr>
          <w:color w:val="000000"/>
        </w:rPr>
      </w:r>
    </w:p>
    <w:p>
      <w:pPr>
        <w:pStyle w:val="Normal"/>
        <w:rPr>
          <w:color w:val="000000"/>
        </w:rPr>
      </w:pPr>
      <w:r>
        <w:rPr>
          <w:color w:val="000000"/>
        </w:rPr>
        <w:t>Equations (3.34) and (3.35c) are referred to as the Maximum Likelihood Estimators or MLEs, and the derived parameters are ML estimates of the true distribution parameters.  An obvious question is whether or not MLEs provide “best guesses” of the true parameters.  We state without proof that, assuming the likelihood function obeys some specific regularity conditions, MLEs are consistent, asymptotically normal, and asymptotically efficient.  In fact, MLEs are at least as asymptotically efficient as any consistent estimator.</w:t>
      </w:r>
    </w:p>
    <w:p>
      <w:pPr>
        <w:pStyle w:val="Normal"/>
        <w:rPr>
          <w:color w:val="000000"/>
        </w:rPr>
      </w:pPr>
      <w:r>
        <w:rPr>
          <w:color w:val="000000"/>
        </w:rPr>
      </w:r>
    </w:p>
    <w:p>
      <w:pPr>
        <w:pStyle w:val="Normal"/>
        <w:rPr>
          <w:color w:val="000000"/>
        </w:rPr>
      </w:pPr>
      <w:r>
        <w:rPr>
          <w:color w:val="000000"/>
        </w:rPr>
        <w:t>It is interesting to note that although ML estimation is consistent, it is not unbiased in general.  For example, the ML estimate for the variance derived from equation (3.35c) is found to be;</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eqArr>
          <m:e>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e>
          <m:e>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f>
              <m:num>
                <m:r>
                  <m:t xml:space="preserve">N</m:t>
                </m:r>
              </m:num>
              <m:den>
                <m:r>
                  <m:t xml:space="preserve">2</m:t>
                </m:r>
                <m:sSup>
                  <m:e>
                    <m:r>
                      <m:t xml:space="preserve">σ</m:t>
                    </m:r>
                  </m:e>
                  <m:sup>
                    <m:r>
                      <m:t xml:space="preserve">2</m:t>
                    </m:r>
                  </m:sup>
                </m:sSup>
              </m:den>
            </m:f>
          </m:e>
          <m:e>
            <m:sSup>
              <m:e>
                <m:r>
                  <m:t xml:space="preserve">σ</m:t>
                </m:r>
              </m:e>
              <m:sup>
                <m:r>
                  <m:t xml:space="preserve">2</m:t>
                </m:r>
              </m:sup>
            </m:sSup>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e>
        </m:eqArr>
      </m:oMath>
      <w:r>
        <w:rPr>
          <w:color w:val="000000"/>
        </w:rPr>
        <w:tab/>
        <w:t>(3.36)</w:t>
      </w:r>
    </w:p>
    <w:p>
      <w:pPr>
        <w:pStyle w:val="Normal"/>
        <w:rPr>
          <w:color w:val="000000"/>
        </w:rPr>
      </w:pPr>
      <w:r>
        <w:rPr>
          <w:color w:val="000000"/>
        </w:rPr>
      </w:r>
    </w:p>
    <w:p>
      <w:pPr>
        <w:pStyle w:val="Normal"/>
        <w:rPr/>
      </w:pPr>
      <w:r>
        <w:rPr>
          <w:color w:val="000000"/>
        </w:rPr>
        <w:t xml:space="preserve">which is not the same as the OLS unbiased estimate </w:t>
      </w:r>
      <w:r>
        <w:rPr>
          <w:color w:val="000000"/>
        </w:rPr>
      </w:r>
      <m:oMath xmlns:m="http://schemas.openxmlformats.org/officeDocument/2006/math">
        <m:sSup>
          <m:e>
            <m:r>
              <m:t xml:space="preserve">σ</m:t>
            </m:r>
          </m:e>
          <m:sup>
            <m:r>
              <m:t xml:space="preserve">2</m:t>
            </m:r>
          </m:sup>
        </m:sSup>
        <m:r>
          <m:t xml:space="preserve">=</m:t>
        </m:r>
        <m:f>
          <m:num>
            <m:r>
              <m:t xml:space="preserve">1</m:t>
            </m:r>
          </m:num>
          <m:den>
            <m:r>
              <m:t xml:space="preserve">N</m:t>
            </m:r>
            <m:r>
              <m:t xml:space="preserve">−</m:t>
            </m:r>
            <m:r>
              <m:t xml:space="preserve">1</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oMath>
      <w:r>
        <w:rPr>
          <w:color w:val="000000"/>
        </w:rPr>
        <w:t>.  As we mentioned before however, the ML estimate is more efficient than OLS and, in cases of small numbers of observations, may be a better estimate in the sense of having the minimum mean squared error.</w:t>
      </w:r>
    </w:p>
    <w:p>
      <w:pPr>
        <w:pStyle w:val="Normal"/>
        <w:rPr>
          <w:color w:val="000000"/>
        </w:rPr>
      </w:pPr>
      <w:r>
        <w:rPr>
          <w:color w:val="000000"/>
        </w:rPr>
      </w:r>
    </w:p>
    <w:p>
      <w:pPr>
        <w:pStyle w:val="Heading3"/>
        <w:ind w:hanging="0" w:start="0"/>
        <w:rPr>
          <w:color w:val="000000"/>
        </w:rPr>
      </w:pPr>
      <w:r>
        <w:rPr>
          <w:color w:val="000000"/>
        </w:rPr>
        <w:t>3.4.4</w:t>
        <w:tab/>
        <w:t>Testing</w:t>
      </w:r>
    </w:p>
    <w:p>
      <w:pPr>
        <w:pStyle w:val="Normal"/>
        <w:rPr>
          <w:color w:val="000000"/>
        </w:rPr>
      </w:pPr>
      <w:r>
        <w:rPr>
          <w:color w:val="000000"/>
        </w:rPr>
      </w:r>
    </w:p>
    <w:p>
      <w:pPr>
        <w:pStyle w:val="Normal"/>
        <w:rPr>
          <w:color w:val="000000"/>
        </w:rPr>
      </w:pPr>
      <w:r>
        <w:rPr>
          <w:color w:val="000000"/>
        </w:rPr>
        <w:t>Having decided on a hypothesis for the price process under study and estimated the model’s parameters, it is essential to test the validity of that hypothesis.  Unfortunately, the importance of this step is sometimes ignored in the rush to produce results.  For example, the ubiquity of Black-Scholes-Merton option pricing in equity markets means that it is very common to assume that pure diffusion also describes energy commodity prices.  Figure 3.4 shows average daily prices for NSW electricity for the calendar year 1999.</w:t>
      </w:r>
    </w:p>
    <w:p>
      <w:pPr>
        <w:pStyle w:val="Normal"/>
        <w:rPr>
          <w:color w:val="000000"/>
        </w:rPr>
      </w:pPr>
      <w:r>
        <w:rPr>
          <w:color w:val="000000"/>
        </w:rPr>
      </w:r>
    </w:p>
    <w:p>
      <w:pPr>
        <w:pStyle w:val="Heading4"/>
        <w:jc w:val="center"/>
        <w:rPr/>
      </w:pPr>
      <w:bookmarkStart w:id="25" w:name="_Ref486250657"/>
      <w:r>
        <w:rPr>
          <w:color w:val="000000"/>
        </w:rPr>
        <w:t xml:space="preserve">Figure 3.4 </w:t>
      </w:r>
      <w:bookmarkEnd w:id="25"/>
      <w:r>
        <w:rPr>
          <w:color w:val="000000"/>
          <w:lang w:val="en-CA" w:eastAsia="en-CA"/>
        </w:rPr>
        <w:t>Daily Average NSW Power Prices</w:t>
      </w:r>
    </w:p>
    <w:p>
      <w:pPr>
        <w:pStyle w:val="Heading4"/>
        <w:jc w:val="center"/>
        <w:rPr>
          <w:color w:val="000000"/>
          <w:lang w:val="en-CA" w:eastAsia="en-CA"/>
        </w:rPr>
      </w:pPr>
      <w:r>
        <w:rPr>
          <w:color w:val="000000"/>
          <w:lang w:val="en-CA" w:eastAsia="en-CA"/>
        </w:rPr>
        <w:t>(Jan. 1, 1999 - Dec. 31, 1999)</w:t>
      </w:r>
    </w:p>
    <w:p>
      <w:pPr>
        <w:pStyle w:val="Normal"/>
        <w:jc w:val="center"/>
        <w:rPr>
          <w:color w:val="000000"/>
        </w:rPr>
      </w:pPr>
      <w:bookmarkStart w:id="26" w:name="_1023121494"/>
      <w:bookmarkEnd w:id="26"/>
      <w:r>
        <w:rPr>
          <w:color w:val="000000"/>
        </w:rPr>
        <w:object w:dxaOrig="15360" w:dyaOrig="1177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85.3pt;height:294.7pt" filled="f" o:ole="">
            <v:imagedata r:id="rId9" o:title=""/>
          </v:shape>
          <o:OLEObject Type="Embed" ProgID="Excel.Sheet.12" ShapeID="ole_rId8" DrawAspect="Content" ObjectID="_41165317" r:id="rId8"/>
        </w:object>
      </w:r>
    </w:p>
    <w:p>
      <w:pPr>
        <w:pStyle w:val="Normal"/>
        <w:rPr>
          <w:color w:val="000000"/>
        </w:rPr>
      </w:pPr>
      <w:r>
        <w:rPr>
          <w:color w:val="000000"/>
        </w:rPr>
      </w:r>
      <w:bookmarkStart w:id="27" w:name="_Ref486251111"/>
      <w:bookmarkStart w:id="28" w:name="_Ref486251111"/>
    </w:p>
    <w:p>
      <w:pPr>
        <w:pStyle w:val="Normal"/>
        <w:rPr>
          <w:color w:val="000000"/>
        </w:rPr>
      </w:pPr>
      <w:r>
        <w:rPr>
          <w:color w:val="000000"/>
        </w:rPr>
        <w:t>The standard diffusion variance estimate described earlier in this chapter yields a daily volatility of 21.4%.  Without other test statistics, it is impossible to judge how meaningful this number is and how well the diffusion process explains the price behaviour.  We can make qualitative judgements by graphing the frequency of daily returns and overlaying a Gaussian curve with zero mean and standard deviation equal to the derived volatility as shown in figure 3.5.</w:t>
      </w:r>
    </w:p>
    <w:p>
      <w:pPr>
        <w:pStyle w:val="Normal"/>
        <w:rPr>
          <w:color w:val="000000"/>
        </w:rPr>
      </w:pPr>
      <w:r>
        <w:rPr>
          <w:color w:val="000000"/>
        </w:rPr>
      </w:r>
    </w:p>
    <w:p>
      <w:pPr>
        <w:pStyle w:val="Heading4"/>
        <w:jc w:val="center"/>
        <w:rPr/>
      </w:pPr>
      <w:bookmarkStart w:id="29" w:name="_Ref486251111"/>
      <w:r>
        <w:rPr>
          <w:color w:val="000000"/>
        </w:rPr>
        <w:t xml:space="preserve">Figure 3.5 </w:t>
      </w:r>
      <w:bookmarkEnd w:id="29"/>
      <w:r>
        <w:rPr>
          <w:color w:val="000000"/>
          <w:lang w:val="en-CA" w:eastAsia="en-CA"/>
        </w:rPr>
        <w:t>Daily Average NSW Power Prices Log Returns</w:t>
      </w:r>
    </w:p>
    <w:p>
      <w:pPr>
        <w:pStyle w:val="Heading4"/>
        <w:jc w:val="center"/>
        <w:rPr>
          <w:color w:val="000000"/>
          <w:lang w:val="en-CA" w:eastAsia="en-CA"/>
        </w:rPr>
      </w:pPr>
      <w:r>
        <w:rPr>
          <w:color w:val="000000"/>
          <w:lang w:val="en-CA" w:eastAsia="en-CA"/>
        </w:rPr>
        <w:t>(Jan. 1, 1999 - Dec. 31, 1999)</w:t>
      </w:r>
    </w:p>
    <w:p>
      <w:pPr>
        <w:pStyle w:val="Normal"/>
        <w:jc w:val="center"/>
        <w:rPr>
          <w:color w:val="000000"/>
        </w:rPr>
      </w:pPr>
      <w:bookmarkStart w:id="30" w:name="_1023121747"/>
      <w:bookmarkStart w:id="31" w:name="_1023121675"/>
      <w:bookmarkEnd w:id="30"/>
      <w:bookmarkEnd w:id="31"/>
      <w:r>
        <w:rPr>
          <w:color w:val="000000"/>
        </w:rPr>
        <w:object w:dxaOrig="15360" w:dyaOrig="1177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06.55pt;height:277.6pt" filled="f" o:ole="">
            <v:imagedata r:id="rId11" o:title=""/>
          </v:shape>
          <o:OLEObject Type="Embed" ProgID="Excel.Sheet.12" ShapeID="ole_rId10" DrawAspect="Content" ObjectID="_353682091" r:id="rId10"/>
        </w:object>
      </w:r>
    </w:p>
    <w:p>
      <w:pPr>
        <w:pStyle w:val="Normal"/>
        <w:rPr>
          <w:color w:val="000000"/>
        </w:rPr>
      </w:pPr>
      <w:r>
        <w:rPr>
          <w:color w:val="000000"/>
        </w:rPr>
      </w:r>
    </w:p>
    <w:p>
      <w:pPr>
        <w:pStyle w:val="Normal"/>
        <w:rPr>
          <w:color w:val="000000"/>
        </w:rPr>
      </w:pPr>
      <w:r>
        <w:rPr>
          <w:color w:val="000000"/>
        </w:rPr>
        <w:t xml:space="preserve">This figure amply demonstrates the poor quality of the fit.  The standard deviation seems to be overly influenced by a few large valued returns at the expense of a larger number of small valued returns.  Indeed, fitting "by-eye", as suggested by the dashed normal distribution in the figure, might lead us to estimate a rather lower volatility.  Calculating the skew and kurtosis (third and fourth moments) of the returns distribution provides a more quantitative test of normality.  If the return distribution is normally distributed, then the two statistics </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
          <m:e>
            <m:r>
              <m:t xml:space="preserve">T</m:t>
            </m:r>
          </m:e>
          <m:sub>
            <m:r>
              <m:rPr>
                <m:lit/>
                <m:nor/>
              </m:rPr>
              <m:t xml:space="preserve">skew</m:t>
            </m:r>
          </m:sub>
        </m:sSub>
        <m:r>
          <m:t xml:space="preserve">=</m:t>
        </m:r>
        <m:f>
          <m:num>
            <m:r>
              <m:t xml:space="preserve">1</m:t>
            </m:r>
          </m:num>
          <m:den>
            <m:rad>
              <m:radPr>
                <m:degHide m:val="1"/>
              </m:radPr>
              <m:deg/>
              <m:e>
                <m:r>
                  <m:t xml:space="preserve">6</m:t>
                </m:r>
                <m:r>
                  <m:t xml:space="preserve">N</m:t>
                </m:r>
              </m:e>
            </m:rad>
          </m:den>
        </m:f>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oMath>
      <w:r>
        <w:rPr>
          <w:color w:val="000000"/>
        </w:rPr>
        <w:tab/>
        <w:t>(3.37)</w:t>
      </w:r>
    </w:p>
    <w:p>
      <w:pPr>
        <w:pStyle w:val="Normal"/>
        <w:rPr>
          <w:color w:val="000000"/>
        </w:rPr>
      </w:pPr>
      <w:r>
        <w:rPr>
          <w:color w:val="000000"/>
        </w:rPr>
      </w:r>
    </w:p>
    <w:p>
      <w:pPr>
        <w:pStyle w:val="Normal"/>
        <w:rPr>
          <w:color w:val="000000"/>
        </w:rPr>
      </w:pPr>
      <w:r>
        <w:rPr>
          <w:color w:val="000000"/>
        </w:rPr>
        <w:t>and</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
          <m:e>
            <m:r>
              <m:t xml:space="preserve">T</m:t>
            </m:r>
          </m:e>
          <m:sub>
            <m:r>
              <m:rPr>
                <m:lit/>
                <m:nor/>
              </m:rPr>
              <m:t xml:space="preserve">kurt</m:t>
            </m:r>
          </m:sub>
        </m:sSub>
        <m:r>
          <m:t xml:space="preserve">=</m:t>
        </m:r>
        <m:f>
          <m:num>
            <m:r>
              <m:t xml:space="preserve">1</m:t>
            </m:r>
          </m:num>
          <m:den>
            <m:rad>
              <m:radPr>
                <m:degHide m:val="1"/>
              </m:radPr>
              <m:deg/>
              <m:e>
                <m:r>
                  <m:rPr>
                    <m:lit/>
                    <m:nor/>
                  </m:rPr>
                  <m:t xml:space="preserve">24</m:t>
                </m:r>
                <m:r>
                  <m:t xml:space="preserve">N</m:t>
                </m:r>
              </m:e>
            </m:rad>
          </m:den>
        </m:f>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oMath>
      <w:r>
        <w:rPr>
          <w:color w:val="000000"/>
        </w:rPr>
        <w:tab/>
        <w:t>(3.38)</w:t>
      </w:r>
    </w:p>
    <w:p>
      <w:pPr>
        <w:pStyle w:val="Normal"/>
        <w:rPr>
          <w:color w:val="000000"/>
        </w:rPr>
      </w:pPr>
      <w:r>
        <w:rPr>
          <w:color w:val="000000"/>
        </w:rPr>
      </w:r>
    </w:p>
    <w:p>
      <w:pPr>
        <w:pStyle w:val="Normal"/>
        <w:rPr/>
      </w:pPr>
      <w:r>
        <w:rPr>
          <w:color w:val="000000"/>
        </w:rPr>
        <w:t xml:space="preserve">are, in the limit of large </w:t>
      </w:r>
      <w:r>
        <w:rPr>
          <w:i/>
          <w:iCs/>
          <w:color w:val="000000"/>
        </w:rPr>
        <w:t>N</w:t>
      </w:r>
      <w:r>
        <w:rPr>
          <w:color w:val="000000"/>
        </w:rPr>
        <w:t xml:space="preserve">, distributed as </w:t>
      </w:r>
      <w:r>
        <w:rPr>
          <w:i/>
          <w:iCs/>
          <w:color w:val="000000"/>
        </w:rPr>
        <w:t>N</w:t>
      </w:r>
      <w:r>
        <w:rPr>
          <w:color w:val="000000"/>
        </w:rPr>
        <w:t xml:space="preserve">(0,1).  Jarque and Bera (1980) suggested a related statistic by combining equations (3.37) and (3.38) to form </w:t>
      </w:r>
    </w:p>
    <w:p>
      <w:pPr>
        <w:pStyle w:val="Normal"/>
        <w:rPr>
          <w:color w:val="000000"/>
        </w:rPr>
      </w:pPr>
      <w:r>
        <w:rPr>
          <w:color w:val="000000"/>
        </w:rPr>
      </w:r>
      <w:bookmarkStart w:id="32" w:name="_Ref486667159"/>
      <w:bookmarkStart w:id="33" w:name="_Ref486667159"/>
      <w:bookmarkEnd w:id="33"/>
    </w:p>
    <w:p>
      <w:pPr>
        <w:pStyle w:val="Equation"/>
        <w:rPr/>
      </w:pPr>
      <w:bookmarkStart w:id="34" w:name="_Ref486667159"/>
      <w:bookmarkEnd w:id="34"/>
      <w:r>
        <w:rPr>
          <w:i/>
          <w:color w:val="000000"/>
        </w:rPr>
        <w:tab/>
      </w:r>
      <w:r>
        <w:rPr>
          <w:color w:val="000000"/>
        </w:rPr>
      </w:r>
      <m:oMath xmlns:m="http://schemas.openxmlformats.org/officeDocument/2006/math">
        <m:sSub>
          <m:e>
            <m:r>
              <m:t xml:space="preserve">T</m:t>
            </m:r>
          </m:e>
          <m:sub>
            <m:r>
              <m:rPr>
                <m:lit/>
                <m:nor/>
              </m:rPr>
              <m:t xml:space="preserve">JB</m:t>
            </m:r>
          </m:sub>
        </m:sSub>
        <m:r>
          <m:t xml:space="preserve">=</m:t>
        </m:r>
        <m:r>
          <m:t xml:space="preserve">N</m:t>
        </m:r>
        <m:d>
          <m:dPr>
            <m:begChr m:val="["/>
            <m:endChr m:val="]"/>
          </m:dPr>
          <m:e>
            <m:f>
              <m:num>
                <m:sSup>
                  <m:e>
                    <m:r>
                      <m:rPr>
                        <m:lit/>
                        <m:nor/>
                      </m:rPr>
                      <m:t xml:space="preserve">Skew</m:t>
                    </m:r>
                  </m:e>
                  <m:sup>
                    <m:r>
                      <m:t xml:space="preserve">2</m:t>
                    </m:r>
                  </m:sup>
                </m:sSup>
              </m:num>
              <m:den>
                <m:r>
                  <m:t xml:space="preserve">6</m:t>
                </m:r>
              </m:den>
            </m:f>
            <m:r>
              <m:t xml:space="preserve">+</m:t>
            </m:r>
            <m:f>
              <m:num>
                <m:sSup>
                  <m:e>
                    <m:r>
                      <m:rPr>
                        <m:lit/>
                        <m:nor/>
                      </m:rPr>
                      <m:t xml:space="preserve">Kurtosis</m:t>
                    </m:r>
                  </m:e>
                  <m:sup>
                    <m:r>
                      <m:t xml:space="preserve">2</m:t>
                    </m:r>
                  </m:sup>
                </m:sSup>
              </m:num>
              <m:den>
                <m:r>
                  <m:rPr>
                    <m:lit/>
                    <m:nor/>
                  </m:rPr>
                  <m:t xml:space="preserve">24</m:t>
                </m:r>
              </m:den>
            </m:f>
          </m:e>
        </m:d>
      </m:oMath>
      <w:r>
        <w:rPr>
          <w:color w:val="000000"/>
        </w:rPr>
        <w:tab/>
        <w:t>(3.39)</w:t>
      </w:r>
    </w:p>
    <w:p>
      <w:pPr>
        <w:pStyle w:val="Normal"/>
        <w:rPr>
          <w:color w:val="000000"/>
        </w:rPr>
      </w:pPr>
      <w:r>
        <w:rPr>
          <w:color w:val="000000"/>
        </w:rPr>
      </w:r>
    </w:p>
    <w:p>
      <w:pPr>
        <w:pStyle w:val="Normal"/>
        <w:rPr/>
      </w:pPr>
      <w:r>
        <w:rPr>
          <w:color w:val="000000"/>
        </w:rPr>
        <w:t xml:space="preserve">which, in the limit of large </w:t>
      </w:r>
      <w:r>
        <w:rPr>
          <w:i/>
          <w:iCs/>
          <w:color w:val="000000"/>
        </w:rPr>
        <w:t>N</w:t>
      </w:r>
      <w:r>
        <w:rPr>
          <w:color w:val="000000"/>
        </w:rPr>
        <w:t xml:space="preserve">, is equal to </w:t>
      </w:r>
    </w:p>
    <w:p>
      <w:pPr>
        <w:pStyle w:val="Equation"/>
        <w:rPr>
          <w:i/>
          <w:i/>
          <w:color w:val="000000"/>
        </w:rPr>
      </w:pPr>
      <w:r>
        <w:rPr>
          <w:i/>
          <w:color w:val="000000"/>
        </w:rPr>
      </w:r>
    </w:p>
    <w:p>
      <w:pPr>
        <w:pStyle w:val="Equation"/>
        <w:rPr/>
      </w:pPr>
      <w:r>
        <w:rPr>
          <w:i/>
          <w:color w:val="000000"/>
        </w:rPr>
        <w:tab/>
      </w:r>
      <w:r>
        <w:rPr>
          <w:color w:val="000000"/>
        </w:rPr>
      </w:r>
      <m:oMath xmlns:m="http://schemas.openxmlformats.org/officeDocument/2006/math">
        <m:f>
          <m:num>
            <m:r>
              <m:t xml:space="preserve">1</m:t>
            </m:r>
          </m:num>
          <m:den>
            <m:r>
              <m:t xml:space="preserve">6</m:t>
            </m:r>
          </m:den>
        </m:f>
        <m:sSup>
          <m:e>
            <m:d>
              <m:dPr>
                <m:begChr m:val="("/>
                <m:endChr m:val=")"/>
              </m:dPr>
              <m:e>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e>
            </m:d>
          </m:e>
          <m:sup>
            <m:r>
              <m:t xml:space="preserve">2</m:t>
            </m:r>
          </m:sup>
        </m:sSup>
        <m:r>
          <m:t xml:space="preserve">+</m:t>
        </m:r>
        <m:f>
          <m:num>
            <m:r>
              <m:t xml:space="preserve">1</m:t>
            </m:r>
          </m:num>
          <m:den>
            <m:r>
              <m:rPr>
                <m:lit/>
                <m:nor/>
              </m:rPr>
              <m:t xml:space="preserve">24</m:t>
            </m:r>
          </m:den>
        </m:f>
        <m:sSup>
          <m:e>
            <m:d>
              <m:dPr>
                <m:begChr m:val="("/>
                <m:endChr m:val=")"/>
              </m:dPr>
              <m:e>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e>
            </m:d>
          </m:e>
          <m:sup>
            <m:r>
              <m:t xml:space="preserve">2</m:t>
            </m:r>
          </m:sup>
        </m:sSup>
      </m:oMath>
      <w:r>
        <w:rPr>
          <w:color w:val="000000"/>
        </w:rPr>
        <w:tab/>
        <w:t>(3.40)</w:t>
      </w:r>
    </w:p>
    <w:p>
      <w:pPr>
        <w:pStyle w:val="Normal"/>
        <w:rPr>
          <w:color w:val="000000"/>
        </w:rPr>
      </w:pPr>
      <w:r>
        <w:rPr>
          <w:color w:val="000000"/>
        </w:rPr>
      </w:r>
    </w:p>
    <w:p>
      <w:pPr>
        <w:pStyle w:val="Normal"/>
        <w:rPr/>
      </w:pPr>
      <w:r>
        <w:rPr>
          <w:color w:val="000000"/>
        </w:rPr>
        <w:t xml:space="preserve">The Jarque-Bera statistic is distributed as </w:t>
      </w:r>
      <w:r>
        <w:rPr>
          <w:rFonts w:eastAsia="Symbol" w:cs="Symbol" w:ascii="Symbol" w:hAnsi="Symbol"/>
          <w:color w:val="000000"/>
        </w:rPr>
        <w:sym w:font="Symbol" w:char="f063"/>
      </w:r>
      <w:r>
        <w:rPr>
          <w:color w:val="000000"/>
          <w:vertAlign w:val="superscript"/>
        </w:rPr>
        <w:t>2</w:t>
      </w:r>
      <w:r>
        <w:rPr>
          <w:color w:val="000000"/>
        </w:rPr>
        <w:t xml:space="preserve"> of degree 2.</w:t>
      </w:r>
    </w:p>
    <w:p>
      <w:pPr>
        <w:pStyle w:val="Normal"/>
        <w:rPr>
          <w:color w:val="000000"/>
        </w:rPr>
      </w:pPr>
      <w:r>
        <w:rPr>
          <w:color w:val="000000"/>
        </w:rPr>
      </w:r>
    </w:p>
    <w:p>
      <w:pPr>
        <w:pStyle w:val="Normal"/>
        <w:rPr/>
      </w:pPr>
      <w:r>
        <w:rPr>
          <w:color w:val="000000"/>
        </w:rPr>
        <w:t xml:space="preserve">Returning to the NSW daily price data, we find for the 364 observations the skew and kurtosis to be 0.177 and 6.22 respectively.  The statistic </w:t>
      </w:r>
      <w:r>
        <w:rPr>
          <w:i/>
          <w:iCs/>
          <w:color w:val="000000"/>
        </w:rPr>
        <w:t>T</w:t>
      </w:r>
      <w:r>
        <w:rPr>
          <w:i/>
          <w:iCs/>
          <w:color w:val="000000"/>
          <w:vertAlign w:val="subscript"/>
        </w:rPr>
        <w:t>JB</w:t>
      </w:r>
      <w:r>
        <w:rPr>
          <w:color w:val="000000"/>
        </w:rPr>
        <w:t xml:space="preserve"> is then about 580 implying that we reject the hypothesis of normally distributed log price returns at a level of order 10</w:t>
      </w:r>
      <w:r>
        <w:rPr>
          <w:color w:val="000000"/>
          <w:vertAlign w:val="superscript"/>
        </w:rPr>
        <w:t>-128</w:t>
      </w:r>
      <w:r>
        <w:rPr>
          <w:color w:val="000000"/>
        </w:rPr>
        <w:t>.</w:t>
      </w:r>
    </w:p>
    <w:p>
      <w:pPr>
        <w:pStyle w:val="Normal"/>
        <w:rPr>
          <w:color w:val="000000"/>
        </w:rPr>
      </w:pPr>
      <w:r>
        <w:rPr>
          <w:color w:val="000000"/>
        </w:rPr>
      </w:r>
    </w:p>
    <w:p>
      <w:pPr>
        <w:pStyle w:val="Normal"/>
        <w:rPr>
          <w:color w:val="000000"/>
        </w:rPr>
      </w:pPr>
      <w:r>
        <w:rPr>
          <w:color w:val="000000"/>
        </w:rPr>
        <w:t>Tests for the presence of heteroskedasticity rely on the fact that the residuals from an OLS regression will retain any non-stationary behaviour inherent in the underlying process.  Thus, tests sensitive to changing variance can be performed on the regression residuals to detect heteroskedasticity.  Two standard tests are White’s test and the Goldfeld—Quandt test.  White’s test consists of regressing the following model,</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sSubSup>
          <m:e>
            <m:r>
              <m:t xml:space="preserve">u</m:t>
            </m:r>
          </m:e>
          <m:sub>
            <m:r>
              <m:t xml:space="preserve">t</m:t>
            </m:r>
          </m:sub>
          <m:sup>
            <m:r>
              <m:t xml:space="preserve">2</m:t>
            </m:r>
          </m:sup>
        </m:sSubSup>
        <m:r>
          <m:t xml:space="preserve">=</m:t>
        </m:r>
        <m:r>
          <m:t xml:space="preserve">α</m:t>
        </m:r>
        <m:r>
          <m:t xml:space="preserve">+</m:t>
        </m:r>
        <m:r>
          <m:t xml:space="preserve">Zc</m:t>
        </m:r>
      </m:oMath>
      <w:r>
        <w:rPr>
          <w:color w:val="000000"/>
        </w:rPr>
        <w:tab/>
        <w:t>(3.41)</w:t>
      </w:r>
    </w:p>
    <w:p>
      <w:pPr>
        <w:pStyle w:val="Normal"/>
        <w:rPr>
          <w:color w:val="000000"/>
        </w:rPr>
      </w:pPr>
      <w:r>
        <w:rPr>
          <w:color w:val="000000"/>
        </w:rPr>
      </w:r>
    </w:p>
    <w:p>
      <w:pPr>
        <w:pStyle w:val="Normal"/>
        <w:rPr/>
      </w:pPr>
      <w:r>
        <w:rPr>
          <w:color w:val="000000"/>
        </w:rPr>
        <w:t xml:space="preserve">where </w:t>
      </w:r>
      <w:r>
        <w:rPr>
          <w:rFonts w:eastAsia="Symbol" w:cs="Symbol" w:ascii="Symbol" w:hAnsi="Symbol"/>
          <w:color w:val="000000"/>
        </w:rPr>
        <w:sym w:font="Symbol" w:char="f061"/>
      </w:r>
      <w:r>
        <w:rPr>
          <w:color w:val="000000"/>
        </w:rPr>
        <w:t xml:space="preserve"> and </w:t>
      </w:r>
      <w:r>
        <w:rPr>
          <w:i/>
          <w:iCs/>
          <w:color w:val="000000"/>
        </w:rPr>
        <w:t>c</w:t>
      </w:r>
      <w:r>
        <w:rPr>
          <w:color w:val="000000"/>
        </w:rPr>
        <w:t xml:space="preserve"> are constants, and </w:t>
      </w:r>
      <w:r>
        <w:rPr>
          <w:b/>
          <w:color w:val="000000"/>
        </w:rPr>
        <w:t>Z</w:t>
      </w:r>
      <w:r>
        <w:rPr>
          <w:color w:val="000000"/>
        </w:rPr>
        <w:t xml:space="preserve"> is the set of all squares and cross products derivable from the variables used in the original OLS regression.  The statistic </w:t>
      </w:r>
      <w:r>
        <w:rPr>
          <w:i/>
          <w:iCs/>
          <w:color w:val="000000"/>
        </w:rPr>
        <w:t>NR</w:t>
      </w:r>
      <w:r>
        <w:rPr>
          <w:color w:val="000000"/>
          <w:vertAlign w:val="superscript"/>
        </w:rPr>
        <w:t>2</w:t>
      </w:r>
      <w:r>
        <w:rPr>
          <w:color w:val="000000"/>
        </w:rPr>
        <w:t xml:space="preserve">, where </w:t>
      </w:r>
      <w:r>
        <w:rPr>
          <w:i/>
          <w:iCs/>
          <w:color w:val="000000"/>
        </w:rPr>
        <w:t>N</w:t>
      </w:r>
      <w:r>
        <w:rPr>
          <w:color w:val="000000"/>
        </w:rPr>
        <w:t xml:space="preserve"> is the number of observations and </w:t>
      </w:r>
      <w:r>
        <w:rPr>
          <w:i/>
          <w:iCs/>
          <w:color w:val="000000"/>
        </w:rPr>
        <w:t>R</w:t>
      </w:r>
      <w:r>
        <w:rPr>
          <w:color w:val="000000"/>
          <w:vertAlign w:val="superscript"/>
        </w:rPr>
        <w:t>2</w:t>
      </w:r>
      <w:r>
        <w:rPr>
          <w:color w:val="000000"/>
        </w:rPr>
        <w:t xml:space="preserve"> is the usual regression statistic, is distributed as </w:t>
      </w:r>
      <w:r>
        <w:rPr>
          <w:rFonts w:eastAsia="Symbol" w:cs="Symbol" w:ascii="Symbol" w:hAnsi="Symbol"/>
          <w:color w:val="000000"/>
        </w:rPr>
        <w:sym w:font="Symbol" w:char="f063"/>
      </w:r>
      <w:r>
        <w:rPr>
          <w:color w:val="000000"/>
          <w:vertAlign w:val="superscript"/>
        </w:rPr>
        <w:t>2</w:t>
      </w:r>
      <w:r>
        <w:rPr>
          <w:color w:val="000000"/>
        </w:rPr>
        <w:t xml:space="preserve"> with </w:t>
      </w:r>
      <w:r>
        <w:rPr>
          <w:i/>
          <w:iCs/>
          <w:color w:val="000000"/>
        </w:rPr>
        <w:t>p</w:t>
      </w:r>
      <w:r>
        <w:rPr>
          <w:color w:val="000000"/>
        </w:rPr>
        <w:t xml:space="preserve"> degrees of freedom where </w:t>
      </w:r>
      <w:r>
        <w:rPr>
          <w:i/>
          <w:iCs/>
          <w:color w:val="000000"/>
        </w:rPr>
        <w:t>p</w:t>
      </w:r>
      <w:r>
        <w:rPr>
          <w:color w:val="000000"/>
        </w:rPr>
        <w:t xml:space="preserve"> is the number of regressors in Z.</w:t>
      </w:r>
    </w:p>
    <w:p>
      <w:pPr>
        <w:pStyle w:val="Normal"/>
        <w:rPr>
          <w:color w:val="000000"/>
        </w:rPr>
      </w:pPr>
      <w:r>
        <w:rPr>
          <w:color w:val="000000"/>
        </w:rPr>
      </w:r>
    </w:p>
    <w:p>
      <w:pPr>
        <w:pStyle w:val="Normal"/>
        <w:rPr>
          <w:color w:val="000000"/>
        </w:rPr>
      </w:pPr>
      <w:r>
        <w:rPr>
          <w:color w:val="000000"/>
        </w:rPr>
        <w:t>The Goldfeld - Quandt test assumes that there exists a variable that is related to a model’s variance.  Using this variable, we sort the data into subsets of high and low expected variance.  We then perform an OLS regression on the two data sets and form the statistic,</w:t>
      </w:r>
    </w:p>
    <w:p>
      <w:pPr>
        <w:pStyle w:val="Normal"/>
        <w:rPr>
          <w:color w:val="000000"/>
        </w:rPr>
      </w:pPr>
      <w:r>
        <w:rPr>
          <w:color w:val="000000"/>
        </w:rPr>
      </w:r>
    </w:p>
    <w:p>
      <w:pPr>
        <w:pStyle w:val="Equation"/>
        <w:rPr/>
      </w:pPr>
      <w:r>
        <w:rPr>
          <w:i/>
          <w:color w:val="000000"/>
        </w:rPr>
        <w:tab/>
      </w:r>
      <w:r>
        <w:rPr>
          <w:color w:val="000000"/>
        </w:rPr>
        <w:object w:dxaOrig="3200" w:dyaOrig="11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60pt;height:57pt" filled="f" o:ole="">
            <v:imagedata r:id="rId13" o:title=""/>
          </v:shape>
          <o:OLEObject Type="Embed" ProgID="" ShapeID="ole_rId12" DrawAspect="Content" ObjectID="_866717071" r:id="rId12"/>
        </w:object>
      </w:r>
      <w:r>
        <w:rPr>
          <w:color w:val="000000"/>
        </w:rPr>
        <w:tab/>
        <w:t>(3.42)</w:t>
      </w:r>
    </w:p>
    <w:p>
      <w:pPr>
        <w:pStyle w:val="Normal"/>
        <w:rPr>
          <w:color w:val="000000"/>
        </w:rPr>
      </w:pPr>
      <w:r>
        <w:rPr>
          <w:color w:val="000000"/>
        </w:rPr>
      </w:r>
    </w:p>
    <w:p>
      <w:pPr>
        <w:pStyle w:val="Normal"/>
        <w:rPr/>
      </w:pPr>
      <w:r>
        <w:rPr>
          <w:color w:val="000000"/>
        </w:rPr>
        <w:t xml:space="preserve">Where </w:t>
      </w:r>
      <w:r>
        <w:rPr>
          <w:i/>
          <w:color w:val="000000"/>
        </w:rPr>
        <w:t>SSR</w:t>
      </w:r>
      <w:r>
        <w:rPr>
          <w:color w:val="000000"/>
        </w:rPr>
        <w:t xml:space="preserve"> stands for Sum of Squared Residuals, </w:t>
      </w:r>
      <w:r>
        <w:rPr>
          <w:i/>
          <w:color w:val="000000"/>
        </w:rPr>
        <w:t>n</w:t>
      </w:r>
      <w:r>
        <w:rPr>
          <w:i/>
          <w:color w:val="000000"/>
          <w:vertAlign w:val="subscript"/>
        </w:rPr>
        <w:t>1</w:t>
      </w:r>
      <w:r>
        <w:rPr>
          <w:color w:val="000000"/>
        </w:rPr>
        <w:t xml:space="preserve"> and </w:t>
      </w:r>
      <w:r>
        <w:rPr>
          <w:i/>
          <w:color w:val="000000"/>
        </w:rPr>
        <w:t>n</w:t>
      </w:r>
      <w:r>
        <w:rPr>
          <w:i/>
          <w:color w:val="000000"/>
          <w:vertAlign w:val="subscript"/>
        </w:rPr>
        <w:t>3</w:t>
      </w:r>
      <w:r>
        <w:rPr>
          <w:color w:val="000000"/>
        </w:rPr>
        <w:t xml:space="preserve"> are the number of observations in the high and low data sets respectively and </w:t>
      </w:r>
      <w:r>
        <w:rPr>
          <w:i/>
          <w:iCs/>
          <w:color w:val="000000"/>
        </w:rPr>
        <w:t>K</w:t>
      </w:r>
      <w:r>
        <w:rPr>
          <w:color w:val="000000"/>
        </w:rPr>
        <w:t xml:space="preserve"> is the number of parameters in the regression.  Under the null hypothesis of homoskedacity, this statistic is distributed as </w:t>
      </w:r>
      <w:r>
        <w:rPr>
          <w:i/>
          <w:iCs/>
          <w:color w:val="000000"/>
        </w:rPr>
        <w:t>F</w:t>
      </w:r>
      <w:r>
        <w:rPr>
          <w:color w:val="000000"/>
        </w:rPr>
        <w:t>[</w:t>
      </w:r>
      <w:r>
        <w:rPr>
          <w:i/>
          <w:iCs/>
          <w:color w:val="000000"/>
        </w:rPr>
        <w:t>n</w:t>
      </w:r>
      <w:r>
        <w:rPr>
          <w:color w:val="000000"/>
          <w:vertAlign w:val="subscript"/>
        </w:rPr>
        <w:t>1</w:t>
      </w:r>
      <w:r>
        <w:rPr>
          <w:color w:val="000000"/>
        </w:rPr>
        <w:t>-</w:t>
      </w:r>
      <w:r>
        <w:rPr>
          <w:i/>
          <w:iCs/>
          <w:color w:val="000000"/>
        </w:rPr>
        <w:t>K</w:t>
      </w:r>
      <w:r>
        <w:rPr>
          <w:color w:val="000000"/>
        </w:rPr>
        <w:t xml:space="preserve">, </w:t>
      </w:r>
      <w:r>
        <w:rPr>
          <w:i/>
          <w:iCs/>
          <w:color w:val="000000"/>
        </w:rPr>
        <w:t>n</w:t>
      </w:r>
      <w:r>
        <w:rPr>
          <w:color w:val="000000"/>
          <w:vertAlign w:val="subscript"/>
        </w:rPr>
        <w:t>3</w:t>
      </w:r>
      <w:r>
        <w:rPr>
          <w:color w:val="000000"/>
        </w:rPr>
        <w:t>-</w:t>
      </w:r>
      <w:r>
        <w:rPr>
          <w:i/>
          <w:iCs/>
          <w:color w:val="000000"/>
        </w:rPr>
        <w:t>K</w:t>
      </w:r>
      <w:r>
        <w:rPr>
          <w:color w:val="000000"/>
        </w:rPr>
        <w:t>].</w:t>
      </w:r>
    </w:p>
    <w:p>
      <w:pPr>
        <w:pStyle w:val="Normal"/>
        <w:rPr>
          <w:color w:val="000000"/>
        </w:rPr>
      </w:pPr>
      <w:r>
        <w:rPr>
          <w:color w:val="000000"/>
        </w:rPr>
      </w:r>
    </w:p>
    <w:p>
      <w:pPr>
        <w:pStyle w:val="Normal"/>
        <w:rPr>
          <w:color w:val="000000"/>
        </w:rPr>
      </w:pPr>
      <w:r>
        <w:rPr>
          <w:color w:val="000000"/>
        </w:rPr>
        <w:t>To test specifically for ARCH and GARCH behaviour, Engle (1982) and Bollerslev (1986) suggest variations on the Breusch—Pagan/Godfrey test.  This is a Lagrange Multiplier (LM) type test, the details of which are beyond the scope of this chapter.  Like the tests described above, it relies on statistics derived from regressions performed on the residuals.  In this case however, the regressors are derived from the particular variance model.</w:t>
      </w:r>
    </w:p>
    <w:p>
      <w:pPr>
        <w:pStyle w:val="Normal"/>
        <w:rPr>
          <w:color w:val="000000"/>
        </w:rPr>
      </w:pPr>
      <w:r>
        <w:rPr>
          <w:color w:val="000000"/>
        </w:rPr>
      </w:r>
    </w:p>
    <w:p>
      <w:pPr>
        <w:pStyle w:val="Normal"/>
        <w:rPr/>
      </w:pPr>
      <w:r>
        <w:rPr>
          <w:color w:val="000000"/>
        </w:rPr>
        <w:t xml:space="preserve">One can also test how successfully an ARCH or GARCH model explains the autoregressiveness of the volatility.  If a model is successful, then the set </w:t>
      </w:r>
      <w:r>
        <w:rPr>
          <w:color w:val="000000"/>
        </w:rPr>
      </w:r>
      <m:oMath xmlns:m="http://schemas.openxmlformats.org/officeDocument/2006/math">
        <m:d>
          <m:dPr>
            <m:begChr m:val="{"/>
            <m:endChr m:val="}"/>
          </m:dPr>
          <m:e>
            <m:f>
              <m:fPr>
                <m:type m:val="lin"/>
              </m:fPr>
              <m:num>
                <m:sSub>
                  <m:e>
                    <m:r>
                      <m:t xml:space="preserve">y</m:t>
                    </m:r>
                  </m:e>
                  <m:sub>
                    <m:r>
                      <m:t xml:space="preserve">i</m:t>
                    </m:r>
                  </m:sub>
                </m:sSub>
              </m:num>
              <m:den>
                <m:sSub>
                  <m:e>
                    <m:r>
                      <m:t xml:space="preserve">σ</m:t>
                    </m:r>
                  </m:e>
                  <m:sub>
                    <m:r>
                      <m:t xml:space="preserve">i</m:t>
                    </m:r>
                  </m:sub>
                </m:sSub>
              </m:den>
            </m:f>
          </m:e>
        </m:d>
      </m:oMath>
      <w:r>
        <w:rPr>
          <w:color w:val="000000"/>
        </w:rPr>
        <w:t xml:space="preserve"> should exhibit no autocorrelation.  Here, </w:t>
      </w:r>
      <w:r>
        <w:rPr>
          <w:color w:val="000000"/>
        </w:rPr>
      </w:r>
      <m:oMath xmlns:m="http://schemas.openxmlformats.org/officeDocument/2006/math">
        <m:sSub>
          <m:e>
            <m:r>
              <m:t xml:space="preserve">y</m:t>
            </m:r>
          </m:e>
          <m:sub>
            <m:r>
              <m:t xml:space="preserve">i</m:t>
            </m:r>
          </m:sub>
        </m:sSub>
      </m:oMath>
      <w:r>
        <w:rPr>
          <w:color w:val="000000"/>
        </w:rPr>
        <w:t xml:space="preserve"> are the log returns and </w:t>
      </w:r>
      <w:r>
        <w:rPr>
          <w:color w:val="000000"/>
        </w:rPr>
      </w:r>
      <m:oMath xmlns:m="http://schemas.openxmlformats.org/officeDocument/2006/math">
        <m:sSub>
          <m:e>
            <m:r>
              <m:t xml:space="preserve">σ</m:t>
            </m:r>
          </m:e>
          <m:sub>
            <m:r>
              <m:t xml:space="preserve">i</m:t>
            </m:r>
          </m:sub>
        </m:sSub>
      </m:oMath>
      <w:r>
        <w:rPr>
          <w:color w:val="000000"/>
        </w:rPr>
        <w:t xml:space="preserve"> are the volatilities derived from the ARCH or GARCH model under examination.  Hull (1999) suggests using the Ljung-Box statistic to test this series for autocorrelation.</w:t>
      </w:r>
    </w:p>
    <w:p>
      <w:pPr>
        <w:pStyle w:val="Normal"/>
        <w:rPr>
          <w:color w:val="000000"/>
        </w:rPr>
      </w:pPr>
      <w:r>
        <w:rPr>
          <w:color w:val="000000"/>
        </w:rPr>
      </w:r>
    </w:p>
    <w:p>
      <w:pPr>
        <w:pStyle w:val="Heading3"/>
        <w:ind w:hanging="0" w:start="0"/>
        <w:rPr>
          <w:color w:val="000000"/>
        </w:rPr>
      </w:pPr>
      <w:r>
        <w:rPr>
          <w:color w:val="000000"/>
        </w:rPr>
        <w:t>3.4.5</w:t>
        <w:tab/>
        <w:t>Examples From the Energy Commodity Markets</w:t>
      </w:r>
    </w:p>
    <w:p>
      <w:pPr>
        <w:pStyle w:val="Normal"/>
        <w:rPr>
          <w:color w:val="000000"/>
        </w:rPr>
      </w:pPr>
      <w:r>
        <w:rPr>
          <w:color w:val="000000"/>
        </w:rPr>
      </w:r>
    </w:p>
    <w:p>
      <w:pPr>
        <w:pStyle w:val="Normal"/>
        <w:rPr>
          <w:color w:val="000000"/>
        </w:rPr>
      </w:pPr>
      <w:r>
        <w:rPr>
          <w:color w:val="000000"/>
        </w:rPr>
        <w:t>We conclude this chapter by examining different volatility models for selected energy markets.  In particular we examine the behaviour of California PX NP15 day-ahead peak electricity prices (NP15) and the NYMEX prompt month gas (Gas) and WTI crude oil (Crude) contract prices.  The data sets are weekday log price returns covering the period from January 15, 1999 to March 29, 2000 yielding approximately 310 observations. Estimations were performed using maximum likelihood methods.  In general, the regression technique employed was the so-called BHHH, which is explained in detail in any advanced statistics treatise, such as Davidson and MacKinnon (1993). In certain cases, this method failed to converge, so a standard Simplex search of the parameter space was first performed to determine the location of the global maximum. The results of the simplex search were then used as starting points for the BHHH algorithm.  Table 3.3 shows the skew, kurtosis, and maximum likelihood values for each energy and for several volatility models.</w:t>
      </w:r>
    </w:p>
    <w:p>
      <w:pPr>
        <w:pStyle w:val="Normal"/>
        <w:rPr>
          <w:color w:val="000000"/>
        </w:rPr>
      </w:pPr>
      <w:r>
        <w:rPr>
          <w:color w:val="000000"/>
        </w:rPr>
      </w:r>
    </w:p>
    <w:p>
      <w:pPr>
        <w:pStyle w:val="Normal"/>
        <w:rPr>
          <w:color w:val="000000"/>
        </w:rPr>
      </w:pPr>
      <w:r>
        <w:rPr>
          <w:color w:val="000000"/>
        </w:rPr>
        <w:t xml:space="preserve">The number in italics to the right of the ML statistic is the so-called Schwartz criterion (SC) (Schwartz (1978)), which is defined as </w:t>
      </w:r>
    </w:p>
    <w:p>
      <w:pPr>
        <w:pStyle w:val="Normal"/>
        <w:rPr>
          <w:color w:val="000000"/>
        </w:rPr>
      </w:pPr>
      <w:r>
        <w:rPr>
          <w:color w:val="000000"/>
        </w:rPr>
      </w:r>
    </w:p>
    <w:p>
      <w:pPr>
        <w:pStyle w:val="Equation"/>
        <w:rPr/>
      </w:pPr>
      <w:r>
        <w:rPr>
          <w:i/>
          <w:color w:val="000000"/>
        </w:rPr>
        <w:tab/>
      </w:r>
      <w:r>
        <w:rPr>
          <w:color w:val="000000"/>
        </w:rPr>
      </w:r>
      <m:oMath xmlns:m="http://schemas.openxmlformats.org/officeDocument/2006/math">
        <m:r>
          <m:rPr>
            <m:lit/>
            <m:nor/>
          </m:rPr>
          <m:t xml:space="preserve">SC</m:t>
        </m:r>
        <m:r>
          <m:t xml:space="preserve">=</m:t>
        </m:r>
        <m:r>
          <m:t xml:space="preserve">−</m:t>
        </m:r>
        <m:r>
          <m:t xml:space="preserve">2</m:t>
        </m:r>
        <m:r>
          <m:rPr>
            <m:lit/>
            <m:nor/>
          </m:rPr>
          <m:t xml:space="preserve">ln</m:t>
        </m:r>
        <m:r>
          <m:t xml:space="preserve">L</m:t>
        </m:r>
        <m:r>
          <m:t xml:space="preserve">(</m:t>
        </m:r>
        <m:r>
          <m:t xml:space="preserve">Θ</m:t>
        </m:r>
        <m:r>
          <m:t xml:space="preserve">|</m:t>
        </m:r>
        <m:r>
          <m:t xml:space="preserve">x</m:t>
        </m:r>
        <m:r>
          <m:t xml:space="preserve">)</m:t>
        </m:r>
        <m:r>
          <m:t xml:space="preserve">+</m:t>
        </m:r>
        <m:r>
          <m:t xml:space="preserve">k</m:t>
        </m:r>
        <m:r>
          <m:rPr>
            <m:lit/>
            <m:nor/>
          </m:rPr>
          <m:t xml:space="preserve">ln</m:t>
        </m:r>
        <m:r>
          <m:t xml:space="preserve">N</m:t>
        </m:r>
      </m:oMath>
      <w:r>
        <w:rPr>
          <w:color w:val="000000"/>
        </w:rPr>
        <w:tab/>
        <w:t>(3.43)</w:t>
      </w:r>
    </w:p>
    <w:p>
      <w:pPr>
        <w:pStyle w:val="Normal"/>
        <w:rPr>
          <w:color w:val="000000"/>
        </w:rPr>
      </w:pPr>
      <w:r>
        <w:rPr>
          <w:color w:val="000000"/>
        </w:rPr>
      </w:r>
    </w:p>
    <w:p>
      <w:pPr>
        <w:pStyle w:val="Normal"/>
        <w:rPr/>
      </w:pPr>
      <w:r>
        <w:rPr>
          <w:color w:val="000000"/>
        </w:rPr>
        <w:t xml:space="preserve">where </w:t>
      </w:r>
      <w:r>
        <w:rPr>
          <w:i/>
          <w:iCs/>
          <w:color w:val="000000"/>
        </w:rPr>
        <w:t>N</w:t>
      </w:r>
      <w:r>
        <w:rPr>
          <w:color w:val="000000"/>
        </w:rPr>
        <w:t xml:space="preserve"> is the number of observations and </w:t>
      </w:r>
      <w:r>
        <w:rPr>
          <w:i/>
          <w:iCs/>
          <w:color w:val="000000"/>
        </w:rPr>
        <w:t>k</w:t>
      </w:r>
      <w:r>
        <w:rPr>
          <w:color w:val="000000"/>
        </w:rPr>
        <w:t xml:space="preserve"> is the number of estimated parameters.  The Schwartz criterion scores regressions by favouring large likelihood values while penalizing large numbers of parameters.  The regression with the smallest Schwartz criterion is considered the best fit, although this statement is only qualitative and is not statistically rigorous.  Another common statistic is the likelihood ratio test (</w:t>
      </w:r>
      <w:r>
        <w:rPr>
          <w:i/>
          <w:iCs/>
          <w:color w:val="000000"/>
        </w:rPr>
        <w:t>L</w:t>
      </w:r>
      <w:r>
        <w:rPr>
          <w:color w:val="000000"/>
        </w:rPr>
        <w:t>(</w:t>
      </w:r>
      <w:r>
        <w:rPr>
          <w:i/>
          <w:iCs/>
          <w:color w:val="000000"/>
        </w:rPr>
        <w:t>x</w:t>
      </w:r>
      <w:r>
        <w:rPr>
          <w:color w:val="000000"/>
        </w:rPr>
        <w:t>)), which only looks at the relative goodness of fit but does not consider the number of parameters.</w:t>
      </w:r>
    </w:p>
    <w:p>
      <w:pPr>
        <w:pStyle w:val="Normal"/>
        <w:rPr>
          <w:color w:val="000000"/>
        </w:rPr>
      </w:pPr>
      <w:r>
        <w:rPr>
          <w:color w:val="000000"/>
        </w:rPr>
      </w:r>
    </w:p>
    <w:p>
      <w:pPr>
        <w:pStyle w:val="Heading4"/>
        <w:jc w:val="center"/>
        <w:rPr>
          <w:color w:val="000000"/>
        </w:rPr>
      </w:pPr>
      <w:bookmarkStart w:id="35" w:name="_Ref485392517"/>
      <w:r>
        <w:rPr>
          <w:color w:val="000000"/>
        </w:rPr>
        <w:t>Table 3.3</w:t>
      </w:r>
      <w:bookmarkEnd w:id="35"/>
      <w:r>
        <w:rPr>
          <w:color w:val="000000"/>
        </w:rPr>
        <w:t xml:space="preserve"> Maximum Loglikelihood Values and Schwartz Criteria SC</w:t>
      </w:r>
    </w:p>
    <w:p>
      <w:pPr>
        <w:pStyle w:val="Heading4"/>
        <w:jc w:val="center"/>
        <w:rPr>
          <w:color w:val="000000"/>
        </w:rPr>
      </w:pPr>
      <w:r>
        <w:rPr>
          <w:color w:val="000000"/>
        </w:rPr>
        <w:t>for Various Energies</w:t>
      </w:r>
    </w:p>
    <w:p>
      <w:pPr>
        <w:pStyle w:val="Normal"/>
        <w:rPr>
          <w:color w:val="000000"/>
        </w:rPr>
      </w:pPr>
      <w:r>
        <w:rPr>
          <w:color w:val="000000"/>
        </w:rPr>
      </w:r>
    </w:p>
    <w:tbl>
      <w:tblPr>
        <w:tblW w:w="8372" w:type="dxa"/>
        <w:jc w:val="start"/>
        <w:tblInd w:w="108" w:type="dxa"/>
        <w:tblLayout w:type="fixed"/>
        <w:tblCellMar>
          <w:top w:w="0" w:type="dxa"/>
          <w:start w:w="108" w:type="dxa"/>
          <w:bottom w:w="0" w:type="dxa"/>
          <w:end w:w="108" w:type="dxa"/>
        </w:tblCellMar>
      </w:tblPr>
      <w:tblGrid>
        <w:gridCol w:w="3240"/>
        <w:gridCol w:w="855"/>
        <w:gridCol w:w="45"/>
        <w:gridCol w:w="810"/>
        <w:gridCol w:w="810"/>
        <w:gridCol w:w="840"/>
        <w:gridCol w:w="783"/>
        <w:gridCol w:w="989"/>
      </w:tblGrid>
      <w:tr>
        <w:trPr>
          <w:trHeight w:val="300" w:hRule="atLeast"/>
        </w:trPr>
        <w:tc>
          <w:tcPr>
            <w:tcW w:w="3240" w:type="dxa"/>
            <w:tcBorders>
              <w:top w:val="single" w:sz="12" w:space="0" w:color="000000"/>
              <w:bottom w:val="single" w:sz="6" w:space="0" w:color="000000"/>
            </w:tcBorders>
          </w:tcPr>
          <w:p>
            <w:pPr>
              <w:pStyle w:val="Normal"/>
              <w:snapToGrid w:val="false"/>
              <w:rPr>
                <w:i/>
                <w:i/>
                <w:color w:val="000000"/>
              </w:rPr>
            </w:pPr>
            <w:r>
              <w:rPr>
                <w:i/>
                <w:color w:val="000000"/>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Normal"/>
              <w:rPr>
                <w:i/>
                <w:i/>
                <w:color w:val="000000"/>
              </w:rPr>
            </w:pPr>
            <w:r>
              <w:rPr>
                <w:i/>
                <w:color w:val="000000"/>
              </w:rPr>
              <w:t>NP15</w:t>
            </w:r>
          </w:p>
        </w:tc>
        <w:tc>
          <w:tcPr>
            <w:tcW w:w="1650" w:type="dxa"/>
            <w:gridSpan w:val="2"/>
            <w:tcBorders>
              <w:top w:val="single" w:sz="4" w:space="0" w:color="000000"/>
              <w:start w:val="single" w:sz="4" w:space="0" w:color="000000"/>
              <w:bottom w:val="single" w:sz="4" w:space="0" w:color="000000"/>
              <w:end w:val="single" w:sz="4" w:space="0" w:color="000000"/>
            </w:tcBorders>
          </w:tcPr>
          <w:p>
            <w:pPr>
              <w:pStyle w:val="Normal"/>
              <w:rPr>
                <w:i/>
                <w:i/>
                <w:color w:val="000000"/>
              </w:rPr>
            </w:pPr>
            <w:r>
              <w:rPr>
                <w:i/>
                <w:color w:val="000000"/>
              </w:rPr>
              <w:t>Gas</w:t>
            </w:r>
          </w:p>
        </w:tc>
        <w:tc>
          <w:tcPr>
            <w:tcW w:w="1772" w:type="dxa"/>
            <w:gridSpan w:val="2"/>
            <w:tcBorders>
              <w:top w:val="single" w:sz="4" w:space="0" w:color="000000"/>
              <w:start w:val="single" w:sz="4" w:space="0" w:color="000000"/>
              <w:bottom w:val="single" w:sz="4" w:space="0" w:color="000000"/>
              <w:end w:val="single" w:sz="4" w:space="0" w:color="000000"/>
            </w:tcBorders>
          </w:tcPr>
          <w:p>
            <w:pPr>
              <w:pStyle w:val="Normal"/>
              <w:rPr>
                <w:i/>
                <w:i/>
                <w:color w:val="000000"/>
              </w:rPr>
            </w:pPr>
            <w:r>
              <w:rPr>
                <w:i/>
                <w:color w:val="000000"/>
              </w:rPr>
              <w:t>Crude</w:t>
            </w:r>
          </w:p>
        </w:tc>
      </w:tr>
      <w:tr>
        <w:trPr>
          <w:trHeight w:val="300" w:hRule="atLeast"/>
        </w:trPr>
        <w:tc>
          <w:tcPr>
            <w:tcW w:w="3240" w:type="dxa"/>
            <w:tcBorders>
              <w:end w:val="single" w:sz="6" w:space="0" w:color="000000"/>
            </w:tcBorders>
          </w:tcPr>
          <w:p>
            <w:pPr>
              <w:pStyle w:val="Normal"/>
              <w:rPr>
                <w:color w:val="000000"/>
              </w:rPr>
            </w:pPr>
            <w:r>
              <w:rPr>
                <w:color w:val="000000"/>
              </w:rPr>
              <w:t>Skew</w:t>
            </w:r>
          </w:p>
        </w:tc>
        <w:tc>
          <w:tcPr>
            <w:tcW w:w="1710" w:type="dxa"/>
            <w:gridSpan w:val="3"/>
            <w:tcBorders/>
          </w:tcPr>
          <w:p>
            <w:pPr>
              <w:pStyle w:val="Normal"/>
              <w:rPr>
                <w:color w:val="000000"/>
              </w:rPr>
            </w:pPr>
            <w:r>
              <w:rPr>
                <w:color w:val="000000"/>
              </w:rPr>
              <w:t>0.49</w:t>
            </w:r>
          </w:p>
        </w:tc>
        <w:tc>
          <w:tcPr>
            <w:tcW w:w="1650" w:type="dxa"/>
            <w:gridSpan w:val="2"/>
            <w:tcBorders>
              <w:start w:val="single" w:sz="4" w:space="0" w:color="C0C0C0"/>
            </w:tcBorders>
          </w:tcPr>
          <w:p>
            <w:pPr>
              <w:pStyle w:val="Normal"/>
              <w:rPr>
                <w:color w:val="000000"/>
              </w:rPr>
            </w:pPr>
            <w:r>
              <w:rPr>
                <w:color w:val="000000"/>
              </w:rPr>
              <w:t>-0.07</w:t>
            </w:r>
          </w:p>
        </w:tc>
        <w:tc>
          <w:tcPr>
            <w:tcW w:w="1772" w:type="dxa"/>
            <w:gridSpan w:val="2"/>
            <w:tcBorders>
              <w:start w:val="single" w:sz="4" w:space="0" w:color="C0C0C0"/>
              <w:end w:val="single" w:sz="4" w:space="0" w:color="C0C0C0"/>
            </w:tcBorders>
          </w:tcPr>
          <w:p>
            <w:pPr>
              <w:pStyle w:val="Normal"/>
              <w:rPr>
                <w:color w:val="000000"/>
              </w:rPr>
            </w:pPr>
            <w:r>
              <w:rPr>
                <w:color w:val="000000"/>
              </w:rPr>
              <w:t>-0.51</w:t>
            </w:r>
          </w:p>
        </w:tc>
      </w:tr>
      <w:tr>
        <w:trPr>
          <w:trHeight w:val="300" w:hRule="atLeast"/>
        </w:trPr>
        <w:tc>
          <w:tcPr>
            <w:tcW w:w="3240" w:type="dxa"/>
            <w:tcBorders>
              <w:bottom w:val="single" w:sz="4" w:space="0" w:color="000000"/>
              <w:end w:val="single" w:sz="6" w:space="0" w:color="000000"/>
            </w:tcBorders>
          </w:tcPr>
          <w:p>
            <w:pPr>
              <w:pStyle w:val="Normal"/>
              <w:rPr>
                <w:color w:val="000000"/>
              </w:rPr>
            </w:pPr>
            <w:r>
              <w:rPr>
                <w:color w:val="000000"/>
              </w:rPr>
              <w:t>Kurtosis</w:t>
            </w:r>
          </w:p>
        </w:tc>
        <w:tc>
          <w:tcPr>
            <w:tcW w:w="1710" w:type="dxa"/>
            <w:gridSpan w:val="3"/>
            <w:tcBorders>
              <w:bottom w:val="single" w:sz="4" w:space="0" w:color="000000"/>
            </w:tcBorders>
          </w:tcPr>
          <w:p>
            <w:pPr>
              <w:pStyle w:val="Normal"/>
              <w:rPr>
                <w:color w:val="000000"/>
              </w:rPr>
            </w:pPr>
            <w:r>
              <w:rPr>
                <w:color w:val="000000"/>
              </w:rPr>
              <w:t>12.22</w:t>
            </w:r>
          </w:p>
        </w:tc>
        <w:tc>
          <w:tcPr>
            <w:tcW w:w="1650" w:type="dxa"/>
            <w:gridSpan w:val="2"/>
            <w:tcBorders>
              <w:start w:val="single" w:sz="4" w:space="0" w:color="C0C0C0"/>
              <w:bottom w:val="single" w:sz="4" w:space="0" w:color="000000"/>
            </w:tcBorders>
          </w:tcPr>
          <w:p>
            <w:pPr>
              <w:pStyle w:val="Normal"/>
              <w:rPr>
                <w:color w:val="000000"/>
              </w:rPr>
            </w:pPr>
            <w:r>
              <w:rPr>
                <w:color w:val="000000"/>
              </w:rPr>
              <w:t>2.00</w:t>
            </w:r>
          </w:p>
        </w:tc>
        <w:tc>
          <w:tcPr>
            <w:tcW w:w="1772" w:type="dxa"/>
            <w:gridSpan w:val="2"/>
            <w:tcBorders>
              <w:start w:val="single" w:sz="4" w:space="0" w:color="C0C0C0"/>
              <w:bottom w:val="single" w:sz="4" w:space="0" w:color="000000"/>
              <w:end w:val="single" w:sz="4" w:space="0" w:color="C0C0C0"/>
            </w:tcBorders>
          </w:tcPr>
          <w:p>
            <w:pPr>
              <w:pStyle w:val="Normal"/>
              <w:rPr>
                <w:color w:val="000000"/>
              </w:rPr>
            </w:pPr>
            <w:r>
              <w:rPr>
                <w:color w:val="000000"/>
              </w:rPr>
              <w:t>1.10</w:t>
            </w:r>
          </w:p>
        </w:tc>
      </w:tr>
      <w:tr>
        <w:trPr>
          <w:trHeight w:val="300" w:hRule="atLeast"/>
        </w:trPr>
        <w:tc>
          <w:tcPr>
            <w:tcW w:w="3240" w:type="dxa"/>
            <w:tcBorders>
              <w:bottom w:val="single" w:sz="4" w:space="0" w:color="000000"/>
              <w:end w:val="single" w:sz="6" w:space="0" w:color="000000"/>
            </w:tcBorders>
          </w:tcPr>
          <w:p>
            <w:pPr>
              <w:pStyle w:val="Normal"/>
              <w:snapToGrid w:val="false"/>
              <w:rPr>
                <w:color w:val="000000"/>
              </w:rPr>
            </w:pPr>
            <w:r>
              <w:rPr>
                <w:color w:val="000000"/>
              </w:rPr>
            </w:r>
          </w:p>
        </w:tc>
        <w:tc>
          <w:tcPr>
            <w:tcW w:w="855" w:type="dxa"/>
            <w:tcBorders>
              <w:bottom w:val="single" w:sz="4" w:space="0" w:color="000000"/>
            </w:tcBorders>
          </w:tcPr>
          <w:p>
            <w:pPr>
              <w:pStyle w:val="Normal"/>
              <w:rPr/>
            </w:pPr>
            <w:r>
              <w:rPr>
                <w:i/>
                <w:iCs/>
                <w:color w:val="000000"/>
              </w:rPr>
              <w:t>L</w:t>
            </w:r>
            <w:r>
              <w:rPr>
                <w:color w:val="000000"/>
              </w:rPr>
              <w:t>(</w:t>
            </w:r>
            <w:r>
              <w:rPr>
                <w:i/>
                <w:iCs/>
                <w:color w:val="000000"/>
              </w:rPr>
              <w:t>x</w:t>
            </w:r>
            <w:r>
              <w:rPr>
                <w:color w:val="000000"/>
              </w:rPr>
              <w:t>)</w:t>
            </w:r>
          </w:p>
        </w:tc>
        <w:tc>
          <w:tcPr>
            <w:tcW w:w="855" w:type="dxa"/>
            <w:gridSpan w:val="2"/>
            <w:tcBorders>
              <w:bottom w:val="single" w:sz="4" w:space="0" w:color="000000"/>
            </w:tcBorders>
          </w:tcPr>
          <w:p>
            <w:pPr>
              <w:pStyle w:val="Normal"/>
              <w:rPr>
                <w:i/>
                <w:i/>
                <w:iCs/>
                <w:color w:val="000000"/>
              </w:rPr>
            </w:pPr>
            <w:r>
              <w:rPr>
                <w:i/>
                <w:iCs/>
                <w:color w:val="000000"/>
              </w:rPr>
              <w:t>SC</w:t>
            </w:r>
          </w:p>
        </w:tc>
        <w:tc>
          <w:tcPr>
            <w:tcW w:w="810" w:type="dxa"/>
            <w:tcBorders>
              <w:start w:val="single" w:sz="4" w:space="0" w:color="C0C0C0"/>
              <w:bottom w:val="single" w:sz="4" w:space="0" w:color="000000"/>
            </w:tcBorders>
          </w:tcPr>
          <w:p>
            <w:pPr>
              <w:pStyle w:val="Normal"/>
              <w:rPr/>
            </w:pPr>
            <w:r>
              <w:rPr>
                <w:i/>
                <w:iCs/>
                <w:color w:val="000000"/>
              </w:rPr>
              <w:t>L</w:t>
            </w:r>
            <w:r>
              <w:rPr>
                <w:color w:val="000000"/>
              </w:rPr>
              <w:t>(</w:t>
            </w:r>
            <w:r>
              <w:rPr>
                <w:i/>
                <w:iCs/>
                <w:color w:val="000000"/>
              </w:rPr>
              <w:t>x</w:t>
            </w:r>
            <w:r>
              <w:rPr>
                <w:color w:val="000000"/>
              </w:rPr>
              <w:t>)</w:t>
            </w:r>
          </w:p>
        </w:tc>
        <w:tc>
          <w:tcPr>
            <w:tcW w:w="840" w:type="dxa"/>
            <w:tcBorders>
              <w:start w:val="single" w:sz="4" w:space="0" w:color="C0C0C0"/>
              <w:bottom w:val="single" w:sz="4" w:space="0" w:color="000000"/>
            </w:tcBorders>
          </w:tcPr>
          <w:p>
            <w:pPr>
              <w:pStyle w:val="Normal"/>
              <w:rPr>
                <w:i/>
                <w:i/>
                <w:iCs/>
                <w:color w:val="000000"/>
              </w:rPr>
            </w:pPr>
            <w:r>
              <w:rPr>
                <w:i/>
                <w:iCs/>
                <w:color w:val="000000"/>
              </w:rPr>
              <w:t>SC</w:t>
            </w:r>
          </w:p>
        </w:tc>
        <w:tc>
          <w:tcPr>
            <w:tcW w:w="783" w:type="dxa"/>
            <w:tcBorders>
              <w:start w:val="single" w:sz="4" w:space="0" w:color="C0C0C0"/>
              <w:bottom w:val="single" w:sz="4" w:space="0" w:color="000000"/>
              <w:end w:val="single" w:sz="4" w:space="0" w:color="C0C0C0"/>
            </w:tcBorders>
          </w:tcPr>
          <w:p>
            <w:pPr>
              <w:pStyle w:val="Normal"/>
              <w:rPr/>
            </w:pPr>
            <w:r>
              <w:rPr>
                <w:i/>
                <w:iCs/>
                <w:color w:val="000000"/>
              </w:rPr>
              <w:t>L</w:t>
            </w:r>
            <w:r>
              <w:rPr>
                <w:color w:val="000000"/>
              </w:rPr>
              <w:t>(</w:t>
            </w:r>
            <w:r>
              <w:rPr>
                <w:i/>
                <w:iCs/>
                <w:color w:val="000000"/>
              </w:rPr>
              <w:t>x</w:t>
            </w:r>
            <w:r>
              <w:rPr>
                <w:color w:val="000000"/>
              </w:rPr>
              <w:t>)</w:t>
            </w:r>
          </w:p>
        </w:tc>
        <w:tc>
          <w:tcPr>
            <w:tcW w:w="989" w:type="dxa"/>
            <w:tcBorders>
              <w:start w:val="single" w:sz="4" w:space="0" w:color="C0C0C0"/>
              <w:bottom w:val="single" w:sz="4" w:space="0" w:color="000000"/>
              <w:end w:val="single" w:sz="4" w:space="0" w:color="C0C0C0"/>
            </w:tcBorders>
          </w:tcPr>
          <w:p>
            <w:pPr>
              <w:pStyle w:val="Normal"/>
              <w:rPr>
                <w:i/>
                <w:i/>
                <w:iCs/>
                <w:color w:val="000000"/>
              </w:rPr>
            </w:pPr>
            <w:r>
              <w:rPr>
                <w:i/>
                <w:iCs/>
                <w:color w:val="000000"/>
              </w:rPr>
              <w:t>SC</w:t>
            </w:r>
          </w:p>
        </w:tc>
      </w:tr>
      <w:tr>
        <w:trPr>
          <w:trHeight w:val="300" w:hRule="atLeast"/>
        </w:trPr>
        <w:tc>
          <w:tcPr>
            <w:tcW w:w="3240" w:type="dxa"/>
            <w:tcBorders>
              <w:end w:val="single" w:sz="6" w:space="0" w:color="000000"/>
            </w:tcBorders>
          </w:tcPr>
          <w:p>
            <w:pPr>
              <w:pStyle w:val="Normal"/>
              <w:rPr>
                <w:color w:val="000000"/>
              </w:rPr>
            </w:pPr>
            <w:r>
              <w:rPr>
                <w:color w:val="000000"/>
              </w:rPr>
              <w:t>Pure Diffusion (PD)</w:t>
            </w:r>
          </w:p>
        </w:tc>
        <w:tc>
          <w:tcPr>
            <w:tcW w:w="900" w:type="dxa"/>
            <w:gridSpan w:val="2"/>
            <w:tcBorders>
              <w:end w:val="single" w:sz="4" w:space="0" w:color="C0C0C0"/>
            </w:tcBorders>
          </w:tcPr>
          <w:p>
            <w:pPr>
              <w:pStyle w:val="Normal"/>
              <w:rPr>
                <w:color w:val="000000"/>
              </w:rPr>
            </w:pPr>
            <w:r>
              <w:rPr>
                <w:color w:val="000000"/>
              </w:rPr>
              <w:t>60</w:t>
            </w:r>
          </w:p>
        </w:tc>
        <w:tc>
          <w:tcPr>
            <w:tcW w:w="810" w:type="dxa"/>
            <w:tcBorders/>
          </w:tcPr>
          <w:p>
            <w:pPr>
              <w:pStyle w:val="Normal"/>
              <w:rPr>
                <w:i/>
                <w:i/>
                <w:color w:val="000000"/>
              </w:rPr>
            </w:pPr>
            <w:r>
              <w:rPr>
                <w:i/>
                <w:color w:val="000000"/>
              </w:rPr>
              <w:t>-109</w:t>
            </w:r>
          </w:p>
        </w:tc>
        <w:tc>
          <w:tcPr>
            <w:tcW w:w="810" w:type="dxa"/>
            <w:tcBorders>
              <w:start w:val="single" w:sz="4" w:space="0" w:color="C0C0C0"/>
            </w:tcBorders>
          </w:tcPr>
          <w:p>
            <w:pPr>
              <w:pStyle w:val="Normal"/>
              <w:rPr>
                <w:color w:val="000000"/>
              </w:rPr>
            </w:pPr>
            <w:r>
              <w:rPr>
                <w:color w:val="000000"/>
              </w:rPr>
              <w:t>919</w:t>
            </w:r>
          </w:p>
        </w:tc>
        <w:tc>
          <w:tcPr>
            <w:tcW w:w="840" w:type="dxa"/>
            <w:tcBorders>
              <w:start w:val="single" w:sz="4" w:space="0" w:color="C0C0C0"/>
            </w:tcBorders>
          </w:tcPr>
          <w:p>
            <w:pPr>
              <w:pStyle w:val="Normal"/>
              <w:rPr>
                <w:i/>
                <w:i/>
                <w:color w:val="000000"/>
              </w:rPr>
            </w:pPr>
            <w:r>
              <w:rPr>
                <w:i/>
                <w:color w:val="000000"/>
              </w:rPr>
              <w:t>-1827</w:t>
            </w:r>
          </w:p>
        </w:tc>
        <w:tc>
          <w:tcPr>
            <w:tcW w:w="783" w:type="dxa"/>
            <w:tcBorders>
              <w:start w:val="single" w:sz="4" w:space="0" w:color="C0C0C0"/>
              <w:end w:val="single" w:sz="4" w:space="0" w:color="C0C0C0"/>
            </w:tcBorders>
          </w:tcPr>
          <w:p>
            <w:pPr>
              <w:pStyle w:val="Normal"/>
              <w:rPr>
                <w:color w:val="000000"/>
              </w:rPr>
            </w:pPr>
            <w:r>
              <w:rPr>
                <w:color w:val="000000"/>
              </w:rPr>
              <w:t>992</w:t>
            </w:r>
          </w:p>
        </w:tc>
        <w:tc>
          <w:tcPr>
            <w:tcW w:w="989" w:type="dxa"/>
            <w:tcBorders>
              <w:start w:val="single" w:sz="4" w:space="0" w:color="C0C0C0"/>
              <w:end w:val="single" w:sz="4" w:space="0" w:color="C0C0C0"/>
            </w:tcBorders>
          </w:tcPr>
          <w:p>
            <w:pPr>
              <w:pStyle w:val="Normal"/>
              <w:rPr>
                <w:i/>
                <w:i/>
                <w:color w:val="000000"/>
              </w:rPr>
            </w:pPr>
            <w:r>
              <w:rPr>
                <w:i/>
                <w:color w:val="000000"/>
              </w:rPr>
              <w:t>-1973</w:t>
            </w:r>
          </w:p>
        </w:tc>
      </w:tr>
      <w:tr>
        <w:trPr>
          <w:trHeight w:val="300" w:hRule="atLeast"/>
        </w:trPr>
        <w:tc>
          <w:tcPr>
            <w:tcW w:w="3240" w:type="dxa"/>
            <w:tcBorders>
              <w:end w:val="single" w:sz="6" w:space="0" w:color="000000"/>
            </w:tcBorders>
          </w:tcPr>
          <w:p>
            <w:pPr>
              <w:pStyle w:val="Normal"/>
              <w:rPr>
                <w:color w:val="000000"/>
              </w:rPr>
            </w:pPr>
            <w:r>
              <w:rPr>
                <w:color w:val="000000"/>
              </w:rPr>
              <w:t>Jump Diffusion (JD)</w:t>
            </w:r>
          </w:p>
        </w:tc>
        <w:tc>
          <w:tcPr>
            <w:tcW w:w="900" w:type="dxa"/>
            <w:gridSpan w:val="2"/>
            <w:tcBorders>
              <w:end w:val="single" w:sz="4" w:space="0" w:color="C0C0C0"/>
            </w:tcBorders>
          </w:tcPr>
          <w:p>
            <w:pPr>
              <w:pStyle w:val="Normal"/>
              <w:rPr>
                <w:color w:val="000000"/>
              </w:rPr>
            </w:pPr>
            <w:r>
              <w:rPr>
                <w:color w:val="000000"/>
              </w:rPr>
              <w:t>148</w:t>
            </w:r>
          </w:p>
        </w:tc>
        <w:tc>
          <w:tcPr>
            <w:tcW w:w="810" w:type="dxa"/>
            <w:tcBorders/>
          </w:tcPr>
          <w:p>
            <w:pPr>
              <w:pStyle w:val="Normal"/>
              <w:rPr>
                <w:i/>
                <w:i/>
                <w:color w:val="000000"/>
              </w:rPr>
            </w:pPr>
            <w:r>
              <w:rPr>
                <w:i/>
                <w:color w:val="000000"/>
              </w:rPr>
              <w:t>-267</w:t>
            </w:r>
          </w:p>
        </w:tc>
        <w:tc>
          <w:tcPr>
            <w:tcW w:w="810" w:type="dxa"/>
            <w:tcBorders>
              <w:start w:val="single" w:sz="4" w:space="0" w:color="C0C0C0"/>
            </w:tcBorders>
          </w:tcPr>
          <w:p>
            <w:pPr>
              <w:pStyle w:val="Normal"/>
              <w:snapToGrid w:val="false"/>
              <w:rPr>
                <w:i/>
                <w:i/>
                <w:color w:val="000000"/>
              </w:rPr>
            </w:pPr>
            <w:r>
              <w:rPr>
                <w:i/>
                <w:color w:val="000000"/>
              </w:rPr>
            </w:r>
          </w:p>
        </w:tc>
        <w:tc>
          <w:tcPr>
            <w:tcW w:w="840" w:type="dxa"/>
            <w:tcBorders>
              <w:start w:val="single" w:sz="4" w:space="0" w:color="C0C0C0"/>
            </w:tcBorders>
          </w:tcPr>
          <w:p>
            <w:pPr>
              <w:pStyle w:val="Normal"/>
              <w:snapToGrid w:val="false"/>
              <w:rPr>
                <w:i/>
                <w:i/>
                <w:color w:val="000000"/>
              </w:rPr>
            </w:pPr>
            <w:r>
              <w:rPr>
                <w:i/>
                <w:color w:val="000000"/>
              </w:rPr>
            </w:r>
          </w:p>
        </w:tc>
        <w:tc>
          <w:tcPr>
            <w:tcW w:w="783" w:type="dxa"/>
            <w:tcBorders>
              <w:start w:val="single" w:sz="4" w:space="0" w:color="C0C0C0"/>
              <w:end w:val="single" w:sz="4" w:space="0" w:color="C0C0C0"/>
            </w:tcBorders>
          </w:tcPr>
          <w:p>
            <w:pPr>
              <w:pStyle w:val="Normal"/>
              <w:snapToGrid w:val="false"/>
              <w:rPr>
                <w:i/>
                <w:i/>
                <w:color w:val="000000"/>
              </w:rPr>
            </w:pPr>
            <w:r>
              <w:rPr>
                <w:i/>
                <w:color w:val="000000"/>
              </w:rPr>
            </w:r>
          </w:p>
        </w:tc>
        <w:tc>
          <w:tcPr>
            <w:tcW w:w="989" w:type="dxa"/>
            <w:tcBorders>
              <w:start w:val="single" w:sz="4" w:space="0" w:color="C0C0C0"/>
              <w:end w:val="single" w:sz="4" w:space="0" w:color="C0C0C0"/>
            </w:tcBorders>
          </w:tcPr>
          <w:p>
            <w:pPr>
              <w:pStyle w:val="Normal"/>
              <w:snapToGrid w:val="false"/>
              <w:rPr>
                <w:i/>
                <w:i/>
                <w:color w:val="000000"/>
              </w:rPr>
            </w:pPr>
            <w:r>
              <w:rPr>
                <w:i/>
                <w:color w:val="000000"/>
              </w:rPr>
            </w:r>
          </w:p>
        </w:tc>
      </w:tr>
      <w:tr>
        <w:trPr>
          <w:trHeight w:val="300" w:hRule="atLeast"/>
        </w:trPr>
        <w:tc>
          <w:tcPr>
            <w:tcW w:w="3240" w:type="dxa"/>
            <w:tcBorders>
              <w:end w:val="single" w:sz="6" w:space="0" w:color="000000"/>
            </w:tcBorders>
          </w:tcPr>
          <w:p>
            <w:pPr>
              <w:pStyle w:val="Normal"/>
              <w:rPr>
                <w:color w:val="000000"/>
              </w:rPr>
            </w:pPr>
            <w:r>
              <w:rPr>
                <w:color w:val="000000"/>
              </w:rPr>
              <w:t>ARCH(1)</w:t>
            </w:r>
          </w:p>
        </w:tc>
        <w:tc>
          <w:tcPr>
            <w:tcW w:w="900" w:type="dxa"/>
            <w:gridSpan w:val="2"/>
            <w:tcBorders>
              <w:end w:val="single" w:sz="4" w:space="0" w:color="C0C0C0"/>
            </w:tcBorders>
          </w:tcPr>
          <w:p>
            <w:pPr>
              <w:pStyle w:val="Normal"/>
              <w:rPr>
                <w:color w:val="000000"/>
              </w:rPr>
            </w:pPr>
            <w:r>
              <w:rPr>
                <w:color w:val="000000"/>
              </w:rPr>
              <w:t>84</w:t>
            </w:r>
          </w:p>
        </w:tc>
        <w:tc>
          <w:tcPr>
            <w:tcW w:w="810" w:type="dxa"/>
            <w:tcBorders/>
          </w:tcPr>
          <w:p>
            <w:pPr>
              <w:pStyle w:val="Normal"/>
              <w:rPr>
                <w:i/>
                <w:i/>
                <w:color w:val="000000"/>
              </w:rPr>
            </w:pPr>
            <w:r>
              <w:rPr>
                <w:i/>
                <w:color w:val="000000"/>
              </w:rPr>
              <w:t>-151</w:t>
            </w:r>
          </w:p>
        </w:tc>
        <w:tc>
          <w:tcPr>
            <w:tcW w:w="810" w:type="dxa"/>
            <w:tcBorders>
              <w:start w:val="single" w:sz="4" w:space="0" w:color="C0C0C0"/>
            </w:tcBorders>
          </w:tcPr>
          <w:p>
            <w:pPr>
              <w:pStyle w:val="Normal"/>
              <w:rPr>
                <w:color w:val="000000"/>
              </w:rPr>
            </w:pPr>
            <w:r>
              <w:rPr>
                <w:color w:val="000000"/>
              </w:rPr>
              <w:t>917</w:t>
            </w:r>
          </w:p>
        </w:tc>
        <w:tc>
          <w:tcPr>
            <w:tcW w:w="840" w:type="dxa"/>
            <w:tcBorders>
              <w:start w:val="single" w:sz="4" w:space="0" w:color="C0C0C0"/>
            </w:tcBorders>
          </w:tcPr>
          <w:p>
            <w:pPr>
              <w:pStyle w:val="Normal"/>
              <w:rPr>
                <w:i/>
                <w:i/>
                <w:color w:val="000000"/>
              </w:rPr>
            </w:pPr>
            <w:r>
              <w:rPr>
                <w:i/>
                <w:color w:val="000000"/>
              </w:rPr>
              <w:t>-1817</w:t>
            </w:r>
          </w:p>
        </w:tc>
        <w:tc>
          <w:tcPr>
            <w:tcW w:w="783" w:type="dxa"/>
            <w:tcBorders>
              <w:start w:val="single" w:sz="4" w:space="0" w:color="C0C0C0"/>
              <w:end w:val="single" w:sz="4" w:space="0" w:color="C0C0C0"/>
            </w:tcBorders>
          </w:tcPr>
          <w:p>
            <w:pPr>
              <w:pStyle w:val="Normal"/>
              <w:rPr>
                <w:color w:val="000000"/>
              </w:rPr>
            </w:pPr>
            <w:r>
              <w:rPr>
                <w:color w:val="000000"/>
              </w:rPr>
              <w:t>991</w:t>
            </w:r>
          </w:p>
        </w:tc>
        <w:tc>
          <w:tcPr>
            <w:tcW w:w="989" w:type="dxa"/>
            <w:tcBorders>
              <w:start w:val="single" w:sz="4" w:space="0" w:color="C0C0C0"/>
              <w:end w:val="single" w:sz="4" w:space="0" w:color="C0C0C0"/>
            </w:tcBorders>
          </w:tcPr>
          <w:p>
            <w:pPr>
              <w:pStyle w:val="Normal"/>
              <w:rPr>
                <w:i/>
                <w:i/>
                <w:color w:val="000000"/>
              </w:rPr>
            </w:pPr>
            <w:r>
              <w:rPr>
                <w:i/>
                <w:color w:val="000000"/>
              </w:rPr>
              <w:t>-1965</w:t>
            </w:r>
          </w:p>
        </w:tc>
      </w:tr>
      <w:tr>
        <w:trPr>
          <w:trHeight w:val="300" w:hRule="atLeast"/>
        </w:trPr>
        <w:tc>
          <w:tcPr>
            <w:tcW w:w="3240" w:type="dxa"/>
            <w:tcBorders>
              <w:bottom w:val="single" w:sz="4" w:space="0" w:color="C0C0C0"/>
              <w:end w:val="single" w:sz="6" w:space="0" w:color="000000"/>
            </w:tcBorders>
          </w:tcPr>
          <w:p>
            <w:pPr>
              <w:pStyle w:val="Normal"/>
              <w:rPr>
                <w:color w:val="000000"/>
              </w:rPr>
            </w:pPr>
            <w:r>
              <w:rPr>
                <w:color w:val="000000"/>
              </w:rPr>
              <w:t>GARCH(1,1)</w:t>
            </w:r>
          </w:p>
        </w:tc>
        <w:tc>
          <w:tcPr>
            <w:tcW w:w="900" w:type="dxa"/>
            <w:gridSpan w:val="2"/>
            <w:tcBorders>
              <w:bottom w:val="single" w:sz="4" w:space="0" w:color="C0C0C0"/>
              <w:end w:val="single" w:sz="4" w:space="0" w:color="C0C0C0"/>
            </w:tcBorders>
          </w:tcPr>
          <w:p>
            <w:pPr>
              <w:pStyle w:val="Normal"/>
              <w:rPr>
                <w:color w:val="000000"/>
              </w:rPr>
            </w:pPr>
            <w:r>
              <w:rPr>
                <w:color w:val="000000"/>
              </w:rPr>
              <w:t>121</w:t>
            </w:r>
          </w:p>
        </w:tc>
        <w:tc>
          <w:tcPr>
            <w:tcW w:w="810" w:type="dxa"/>
            <w:tcBorders>
              <w:bottom w:val="single" w:sz="4" w:space="0" w:color="C0C0C0"/>
            </w:tcBorders>
          </w:tcPr>
          <w:p>
            <w:pPr>
              <w:pStyle w:val="Normal"/>
              <w:rPr>
                <w:i/>
                <w:i/>
                <w:color w:val="000000"/>
              </w:rPr>
            </w:pPr>
            <w:r>
              <w:rPr>
                <w:i/>
                <w:color w:val="000000"/>
              </w:rPr>
              <w:t>-219</w:t>
            </w:r>
          </w:p>
        </w:tc>
        <w:tc>
          <w:tcPr>
            <w:tcW w:w="810" w:type="dxa"/>
            <w:tcBorders>
              <w:start w:val="single" w:sz="4" w:space="0" w:color="C0C0C0"/>
              <w:bottom w:val="single" w:sz="4" w:space="0" w:color="C0C0C0"/>
            </w:tcBorders>
          </w:tcPr>
          <w:p>
            <w:pPr>
              <w:pStyle w:val="Normal"/>
              <w:rPr>
                <w:color w:val="000000"/>
              </w:rPr>
            </w:pPr>
            <w:r>
              <w:rPr>
                <w:color w:val="000000"/>
              </w:rPr>
              <w:t>919</w:t>
            </w:r>
          </w:p>
        </w:tc>
        <w:tc>
          <w:tcPr>
            <w:tcW w:w="840" w:type="dxa"/>
            <w:tcBorders>
              <w:start w:val="single" w:sz="4" w:space="0" w:color="C0C0C0"/>
              <w:bottom w:val="single" w:sz="4" w:space="0" w:color="C0C0C0"/>
            </w:tcBorders>
          </w:tcPr>
          <w:p>
            <w:pPr>
              <w:pStyle w:val="Normal"/>
              <w:rPr>
                <w:i/>
                <w:i/>
                <w:color w:val="000000"/>
              </w:rPr>
            </w:pPr>
            <w:r>
              <w:rPr>
                <w:i/>
                <w:color w:val="000000"/>
              </w:rPr>
              <w:t>-1815</w:t>
            </w:r>
          </w:p>
        </w:tc>
        <w:tc>
          <w:tcPr>
            <w:tcW w:w="783" w:type="dxa"/>
            <w:tcBorders>
              <w:start w:val="single" w:sz="4" w:space="0" w:color="C0C0C0"/>
              <w:bottom w:val="single" w:sz="4" w:space="0" w:color="C0C0C0"/>
              <w:end w:val="single" w:sz="4" w:space="0" w:color="C0C0C0"/>
            </w:tcBorders>
          </w:tcPr>
          <w:p>
            <w:pPr>
              <w:pStyle w:val="Normal"/>
              <w:rPr>
                <w:color w:val="000000"/>
              </w:rPr>
            </w:pPr>
            <w:r>
              <w:rPr>
                <w:color w:val="000000"/>
              </w:rPr>
              <w:t>995</w:t>
            </w:r>
          </w:p>
        </w:tc>
        <w:tc>
          <w:tcPr>
            <w:tcW w:w="989" w:type="dxa"/>
            <w:tcBorders>
              <w:start w:val="single" w:sz="4" w:space="0" w:color="C0C0C0"/>
              <w:bottom w:val="single" w:sz="4" w:space="0" w:color="C0C0C0"/>
              <w:end w:val="single" w:sz="4" w:space="0" w:color="C0C0C0"/>
            </w:tcBorders>
          </w:tcPr>
          <w:p>
            <w:pPr>
              <w:pStyle w:val="Normal"/>
              <w:rPr>
                <w:i/>
                <w:i/>
                <w:color w:val="000000"/>
              </w:rPr>
            </w:pPr>
            <w:r>
              <w:rPr>
                <w:i/>
                <w:color w:val="000000"/>
              </w:rPr>
              <w:t>-1967</w:t>
            </w:r>
          </w:p>
        </w:tc>
      </w:tr>
      <w:tr>
        <w:trPr>
          <w:trHeight w:val="300" w:hRule="atLeast"/>
        </w:trPr>
        <w:tc>
          <w:tcPr>
            <w:tcW w:w="3240" w:type="dxa"/>
            <w:tcBorders>
              <w:top w:val="single" w:sz="4" w:space="0" w:color="C0C0C0"/>
              <w:bottom w:val="single" w:sz="12" w:space="0" w:color="000000"/>
              <w:end w:val="single" w:sz="6" w:space="0" w:color="000000"/>
            </w:tcBorders>
          </w:tcPr>
          <w:p>
            <w:pPr>
              <w:pStyle w:val="Normal"/>
              <w:rPr>
                <w:color w:val="000000"/>
              </w:rPr>
            </w:pPr>
            <w:r>
              <w:rPr>
                <w:color w:val="000000"/>
              </w:rPr>
              <w:t>GARCH(1,1) + Jump Diffusion (GJD)</w:t>
            </w:r>
          </w:p>
        </w:tc>
        <w:tc>
          <w:tcPr>
            <w:tcW w:w="900" w:type="dxa"/>
            <w:gridSpan w:val="2"/>
            <w:tcBorders>
              <w:top w:val="single" w:sz="4" w:space="0" w:color="C0C0C0"/>
              <w:bottom w:val="single" w:sz="12" w:space="0" w:color="000000"/>
              <w:end w:val="single" w:sz="4" w:space="0" w:color="C0C0C0"/>
            </w:tcBorders>
          </w:tcPr>
          <w:p>
            <w:pPr>
              <w:pStyle w:val="Normal"/>
              <w:rPr>
                <w:color w:val="000000"/>
              </w:rPr>
            </w:pPr>
            <w:r>
              <w:rPr>
                <w:color w:val="000000"/>
              </w:rPr>
              <w:t>167</w:t>
            </w:r>
          </w:p>
        </w:tc>
        <w:tc>
          <w:tcPr>
            <w:tcW w:w="810" w:type="dxa"/>
            <w:tcBorders>
              <w:top w:val="single" w:sz="4" w:space="0" w:color="C0C0C0"/>
              <w:bottom w:val="single" w:sz="12" w:space="0" w:color="000000"/>
            </w:tcBorders>
          </w:tcPr>
          <w:p>
            <w:pPr>
              <w:pStyle w:val="Normal"/>
              <w:rPr>
                <w:i/>
                <w:i/>
                <w:color w:val="000000"/>
              </w:rPr>
            </w:pPr>
            <w:r>
              <w:rPr>
                <w:i/>
                <w:color w:val="000000"/>
              </w:rPr>
              <w:t>-294</w:t>
            </w:r>
          </w:p>
        </w:tc>
        <w:tc>
          <w:tcPr>
            <w:tcW w:w="810" w:type="dxa"/>
            <w:tcBorders>
              <w:top w:val="single" w:sz="4" w:space="0" w:color="C0C0C0"/>
              <w:start w:val="single" w:sz="4" w:space="0" w:color="C0C0C0"/>
              <w:bottom w:val="single" w:sz="12" w:space="0" w:color="000000"/>
            </w:tcBorders>
          </w:tcPr>
          <w:p>
            <w:pPr>
              <w:pStyle w:val="Normal"/>
              <w:snapToGrid w:val="false"/>
              <w:rPr>
                <w:i/>
                <w:i/>
                <w:color w:val="000000"/>
              </w:rPr>
            </w:pPr>
            <w:r>
              <w:rPr>
                <w:i/>
                <w:color w:val="000000"/>
              </w:rPr>
            </w:r>
          </w:p>
        </w:tc>
        <w:tc>
          <w:tcPr>
            <w:tcW w:w="840" w:type="dxa"/>
            <w:tcBorders>
              <w:top w:val="single" w:sz="4" w:space="0" w:color="C0C0C0"/>
              <w:start w:val="single" w:sz="4" w:space="0" w:color="C0C0C0"/>
              <w:bottom w:val="single" w:sz="12" w:space="0" w:color="000000"/>
            </w:tcBorders>
          </w:tcPr>
          <w:p>
            <w:pPr>
              <w:pStyle w:val="Normal"/>
              <w:snapToGrid w:val="false"/>
              <w:rPr>
                <w:i/>
                <w:i/>
                <w:color w:val="000000"/>
              </w:rPr>
            </w:pPr>
            <w:r>
              <w:rPr>
                <w:i/>
                <w:color w:val="000000"/>
              </w:rPr>
            </w:r>
          </w:p>
        </w:tc>
        <w:tc>
          <w:tcPr>
            <w:tcW w:w="783" w:type="dxa"/>
            <w:tcBorders>
              <w:top w:val="single" w:sz="4" w:space="0" w:color="C0C0C0"/>
              <w:start w:val="single" w:sz="4" w:space="0" w:color="C0C0C0"/>
              <w:bottom w:val="single" w:sz="12" w:space="0" w:color="000000"/>
              <w:end w:val="single" w:sz="4" w:space="0" w:color="C0C0C0"/>
            </w:tcBorders>
          </w:tcPr>
          <w:p>
            <w:pPr>
              <w:pStyle w:val="Normal"/>
              <w:rPr>
                <w:color w:val="000000"/>
              </w:rPr>
            </w:pPr>
            <w:r>
              <w:rPr>
                <w:color w:val="000000"/>
              </w:rPr>
              <w:t>993</w:t>
            </w:r>
          </w:p>
        </w:tc>
        <w:tc>
          <w:tcPr>
            <w:tcW w:w="989" w:type="dxa"/>
            <w:tcBorders>
              <w:top w:val="single" w:sz="4" w:space="0" w:color="C0C0C0"/>
              <w:start w:val="single" w:sz="4" w:space="0" w:color="C0C0C0"/>
              <w:bottom w:val="single" w:sz="12" w:space="0" w:color="000000"/>
              <w:end w:val="single" w:sz="4" w:space="0" w:color="C0C0C0"/>
            </w:tcBorders>
          </w:tcPr>
          <w:p>
            <w:pPr>
              <w:pStyle w:val="Normal"/>
              <w:rPr>
                <w:i/>
                <w:i/>
                <w:color w:val="000000"/>
              </w:rPr>
            </w:pPr>
            <w:r>
              <w:rPr>
                <w:i/>
                <w:color w:val="000000"/>
              </w:rPr>
              <w:t>-1946</w:t>
            </w:r>
          </w:p>
        </w:tc>
      </w:tr>
    </w:tbl>
    <w:p>
      <w:pPr>
        <w:pStyle w:val="Normal"/>
        <w:rPr>
          <w:color w:val="000000"/>
        </w:rPr>
      </w:pPr>
      <w:r>
        <w:rPr>
          <w:color w:val="000000"/>
        </w:rPr>
        <w:t>(No value means that the regression did not converge)</w:t>
      </w:r>
    </w:p>
    <w:p>
      <w:pPr>
        <w:pStyle w:val="Normal"/>
        <w:rPr>
          <w:color w:val="000000"/>
        </w:rPr>
      </w:pPr>
      <w:r>
        <w:rPr>
          <w:color w:val="000000"/>
        </w:rPr>
      </w:r>
    </w:p>
    <w:p>
      <w:pPr>
        <w:pStyle w:val="Normal"/>
        <w:rPr>
          <w:color w:val="000000"/>
        </w:rPr>
      </w:pPr>
      <w:r>
        <w:rPr>
          <w:color w:val="000000"/>
        </w:rPr>
        <w:t>A number of interesting conclusions can be inferred from these data.  The electricity data are highly skewed and leptokurtic.  The Jarque-Bera statistic described in equation (3.39) is about 2000 for the electricity data, which overwhelmingly rejects the hypothesis of normality.  Even more interesting are the results for gas and crude oil.  Over this time period, both price series exhibited platykurtic, or thin-tailed behaviour, and, as expected in such cases, the ARCH type models did not perform well.  The electricity data, in contrast, shows very clear evidence of jump diffusion.  Furthermore, there is some indication that GARCH combined with jump diffusion is marginally more descriptive than jump diffusion alone.  Table 3.4 shows detailed regression results of Jump Diffusion (JD) and GARCH(1,1) + Jump Diffusion  (GJD) on NP15 electricity prices.</w:t>
      </w:r>
    </w:p>
    <w:p>
      <w:pPr>
        <w:pStyle w:val="Normal"/>
        <w:rPr>
          <w:color w:val="000000"/>
        </w:rPr>
      </w:pPr>
      <w:r>
        <w:rPr>
          <w:color w:val="000000"/>
        </w:rPr>
      </w:r>
    </w:p>
    <w:p>
      <w:pPr>
        <w:pStyle w:val="Heading4"/>
        <w:jc w:val="center"/>
        <w:rPr/>
      </w:pPr>
      <w:bookmarkStart w:id="36" w:name="_Ref485397428"/>
      <w:r>
        <w:rPr>
          <w:color w:val="000000"/>
        </w:rPr>
        <w:t xml:space="preserve">Table </w:t>
      </w:r>
      <w:bookmarkEnd w:id="36"/>
      <w:r>
        <w:rPr>
          <w:color w:val="000000"/>
        </w:rPr>
        <w:t>3.4</w:t>
      </w:r>
      <w:r>
        <w:rPr>
          <w:color w:val="000000"/>
          <w:lang w:val="en-CA" w:eastAsia="en-CA"/>
        </w:rPr>
        <w:t xml:space="preserve"> Regression Results for NP15 (t-statistics for each parameter are shown in parantheses)</w:t>
      </w:r>
    </w:p>
    <w:p>
      <w:pPr>
        <w:pStyle w:val="Normal"/>
        <w:rPr>
          <w:color w:val="000000"/>
          <w:lang w:val="en-CA" w:eastAsia="en-CA"/>
        </w:rPr>
      </w:pPr>
      <w:r>
        <w:rPr>
          <w:color w:val="000000"/>
          <w:lang w:val="en-CA" w:eastAsia="en-CA"/>
        </w:rPr>
      </w:r>
    </w:p>
    <w:tbl>
      <w:tblPr>
        <w:tblW w:w="6608" w:type="dxa"/>
        <w:jc w:val="start"/>
        <w:tblInd w:w="1420" w:type="dxa"/>
        <w:tblLayout w:type="fixed"/>
        <w:tblCellMar>
          <w:top w:w="0" w:type="dxa"/>
          <w:start w:w="108" w:type="dxa"/>
          <w:bottom w:w="0" w:type="dxa"/>
          <w:end w:w="108" w:type="dxa"/>
        </w:tblCellMar>
      </w:tblPr>
      <w:tblGrid>
        <w:gridCol w:w="1478"/>
        <w:gridCol w:w="2430"/>
        <w:gridCol w:w="2700"/>
      </w:tblGrid>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rPr>
            </w:pPr>
            <w:r>
              <w:rPr>
                <w:color w:val="000000"/>
              </w:rPr>
              <w:t>Parameter</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rPr>
            </w:pPr>
            <w:r>
              <w:rPr>
                <w:color w:val="000000"/>
              </w:rPr>
              <w:t>Jump Diffusion (JD)</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rPr>
            </w:pPr>
            <w:r>
              <w:rPr>
                <w:color w:val="000000"/>
              </w:rPr>
              <w:t>GARCH(1,1) + Jump Diffusion (GJD)</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i/>
                <w:i/>
                <w:iCs/>
                <w:color w:val="000000"/>
              </w:rPr>
            </w:pPr>
            <w:r>
              <w:rPr>
                <w:i/>
                <w:iCs/>
                <w:color w:val="000000"/>
              </w:rPr>
              <w:t>k</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0.012 </w:t>
            </w:r>
            <w:r>
              <w:rPr>
                <w:rFonts w:eastAsia="Symbol" w:cs="Symbol" w:ascii="Symbol" w:hAnsi="Symbol"/>
                <w:color w:val="000000"/>
              </w:rPr>
              <w:sym w:font="Symbol" w:char="f0b1"/>
            </w:r>
            <w:r>
              <w:rPr>
                <w:color w:val="000000"/>
              </w:rPr>
              <w:t xml:space="preserve"> 0.017 (0.67)</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-0.001 </w:t>
            </w:r>
            <w:r>
              <w:rPr>
                <w:rFonts w:eastAsia="Symbol" w:cs="Symbol" w:ascii="Symbol" w:hAnsi="Symbol"/>
                <w:color w:val="000000"/>
              </w:rPr>
              <w:sym w:font="Symbol" w:char="f0b1"/>
            </w:r>
            <w:r>
              <w:rPr>
                <w:color w:val="000000"/>
              </w:rPr>
              <w:t xml:space="preserve"> 0.015 (0.04)</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000000"/>
              </w:rPr>
              <w:sym w:font="Symbol" w:char="f073"/>
            </w:r>
            <w:r>
              <w:rPr>
                <w:color w:val="000000"/>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0.066 </w:t>
            </w:r>
            <w:r>
              <w:rPr>
                <w:rFonts w:eastAsia="Symbol" w:cs="Symbol" w:ascii="Symbol" w:hAnsi="Symbol"/>
                <w:color w:val="000000"/>
              </w:rPr>
              <w:sym w:font="Symbol" w:char="f0b1"/>
            </w:r>
            <w:r>
              <w:rPr>
                <w:color w:val="000000"/>
              </w:rPr>
              <w:t xml:space="preserve"> 0.008 (8.77)</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000000"/>
              </w:rPr>
            </w:pPr>
            <w:r>
              <w:rPr>
                <w:color w:val="000000"/>
              </w:rPr>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000000"/>
              </w:rPr>
              <w:sym w:font="Symbol" w:char="f061"/>
            </w:r>
            <w:r>
              <w:rPr>
                <w:color w:val="000000"/>
                <w:vertAlign w:val="subscript"/>
              </w:rPr>
              <w:t>0</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000000"/>
                <w:vertAlign w:val="subscript"/>
              </w:rPr>
            </w:pPr>
            <w:r>
              <w:rPr>
                <w:color w:val="000000"/>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0.033 </w:t>
            </w:r>
            <w:r>
              <w:rPr>
                <w:rFonts w:eastAsia="Symbol" w:cs="Symbol" w:ascii="Symbol" w:hAnsi="Symbol"/>
                <w:color w:val="000000"/>
              </w:rPr>
              <w:sym w:font="Symbol" w:char="f0b1"/>
            </w:r>
            <w:r>
              <w:rPr>
                <w:color w:val="000000"/>
              </w:rPr>
              <w:t xml:space="preserve"> 0.008 (4.22)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vertAlign w:val="superscript"/>
              </w:rPr>
            </w:pPr>
            <w:r>
              <w:rPr>
                <w:rFonts w:eastAsia="Symbol" w:cs="Symbol" w:ascii="Symbol" w:hAnsi="Symbol"/>
                <w:color w:val="000000"/>
              </w:rPr>
              <w:sym w:font="Symbol" w:char="f061"/>
            </w:r>
            <w:r>
              <w:rPr>
                <w:color w:val="000000"/>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000000"/>
                <w:vertAlign w:val="superscript"/>
              </w:rPr>
            </w:pPr>
            <w:r>
              <w:rPr>
                <w:color w:val="000000"/>
                <w:vertAlign w:val="super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0.349 </w:t>
            </w:r>
            <w:r>
              <w:rPr>
                <w:rFonts w:eastAsia="Symbol" w:cs="Symbol" w:ascii="Symbol" w:hAnsi="Symbol"/>
                <w:color w:val="000000"/>
              </w:rPr>
              <w:sym w:font="Symbol" w:char="f0b1"/>
            </w:r>
            <w:r>
              <w:rPr>
                <w:color w:val="000000"/>
              </w:rPr>
              <w:t xml:space="preserve"> 0.095 (3.66)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000000"/>
              </w:rPr>
              <w:sym w:font="Symbol" w:char="f062"/>
            </w:r>
            <w:r>
              <w:rPr>
                <w:color w:val="000000"/>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000000"/>
                <w:vertAlign w:val="subscript"/>
              </w:rPr>
            </w:pPr>
            <w:r>
              <w:rPr>
                <w:color w:val="000000"/>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0.208 </w:t>
            </w:r>
            <w:r>
              <w:rPr>
                <w:rFonts w:eastAsia="Symbol" w:cs="Symbol" w:ascii="Symbol" w:hAnsi="Symbol"/>
                <w:color w:val="000000"/>
              </w:rPr>
              <w:sym w:font="Symbol" w:char="f0b1"/>
            </w:r>
            <w:r>
              <w:rPr>
                <w:color w:val="000000"/>
              </w:rPr>
              <w:t xml:space="preserve"> 0.094 (2.21)</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rPr>
            </w:pPr>
            <w:r>
              <w:rPr>
                <w:rFonts w:eastAsia="Symbol" w:cs="Symbol" w:ascii="Symbol" w:hAnsi="Symbol"/>
                <w:color w:val="000000"/>
              </w:rPr>
              <w:sym w:font="Symbol" w:char="f066"/>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0.131 </w:t>
            </w:r>
            <w:r>
              <w:rPr>
                <w:rFonts w:eastAsia="Symbol" w:cs="Symbol" w:ascii="Symbol" w:hAnsi="Symbol"/>
                <w:color w:val="000000"/>
              </w:rPr>
              <w:sym w:font="Symbol" w:char="f0b1"/>
            </w:r>
            <w:r>
              <w:rPr>
                <w:color w:val="000000"/>
              </w:rPr>
              <w:t xml:space="preserve"> 0.033 (3.99)</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0.063 </w:t>
            </w:r>
            <w:r>
              <w:rPr>
                <w:rFonts w:eastAsia="Symbol" w:cs="Symbol" w:ascii="Symbol" w:hAnsi="Symbol"/>
                <w:color w:val="000000"/>
              </w:rPr>
              <w:sym w:font="Symbol" w:char="f0b1"/>
            </w:r>
            <w:r>
              <w:rPr>
                <w:color w:val="000000"/>
              </w:rPr>
              <w:t xml:space="preserve"> 0.023 (2.76)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000000"/>
              </w:rPr>
              <w:sym w:font="Symbol" w:char="f067"/>
            </w:r>
            <w:r>
              <w:rPr>
                <w:color w:val="000000"/>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1.391 </w:t>
            </w:r>
            <w:r>
              <w:rPr>
                <w:rFonts w:eastAsia="Symbol" w:cs="Symbol" w:ascii="Symbol" w:hAnsi="Symbol"/>
                <w:color w:val="000000"/>
              </w:rPr>
              <w:sym w:font="Symbol" w:char="f0b1"/>
            </w:r>
            <w:r>
              <w:rPr>
                <w:color w:val="000000"/>
              </w:rPr>
              <w:t xml:space="preserve"> 0.385 (3.61)</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1.538 </w:t>
            </w:r>
            <w:r>
              <w:rPr>
                <w:rFonts w:eastAsia="Symbol" w:cs="Symbol" w:ascii="Symbol" w:hAnsi="Symbol"/>
                <w:color w:val="000000"/>
              </w:rPr>
              <w:sym w:font="Symbol" w:char="f0b1"/>
            </w:r>
            <w:r>
              <w:rPr>
                <w:color w:val="000000"/>
              </w:rPr>
              <w:t xml:space="preserve"> 0.861 (1.79)</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000000"/>
              </w:rPr>
            </w:pPr>
            <w:r>
              <w:rPr>
                <w:rFonts w:eastAsia="Symbol" w:cs="Symbol" w:ascii="Symbol" w:hAnsi="Symbol"/>
                <w:color w:val="000000"/>
              </w:rPr>
              <w:sym w:font="Symbol" w:char="f06d"/>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-0.086 </w:t>
            </w:r>
            <w:r>
              <w:rPr>
                <w:rFonts w:eastAsia="Symbol" w:cs="Symbol" w:ascii="Symbol" w:hAnsi="Symbol"/>
                <w:color w:val="000000"/>
              </w:rPr>
              <w:sym w:font="Symbol" w:char="f0b1"/>
            </w:r>
            <w:r>
              <w:rPr>
                <w:color w:val="000000"/>
              </w:rPr>
              <w:t xml:space="preserve"> 0.214 (0.40)</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000000"/>
              </w:rPr>
              <w:t xml:space="preserve"> </w:t>
            </w:r>
            <w:r>
              <w:rPr>
                <w:color w:val="000000"/>
              </w:rPr>
              <w:t xml:space="preserve">0.209 </w:t>
            </w:r>
            <w:r>
              <w:rPr>
                <w:rFonts w:eastAsia="Symbol" w:cs="Symbol" w:ascii="Symbol" w:hAnsi="Symbol"/>
                <w:color w:val="000000"/>
              </w:rPr>
              <w:sym w:font="Symbol" w:char="f0b1"/>
            </w:r>
            <w:r>
              <w:rPr>
                <w:color w:val="000000"/>
              </w:rPr>
              <w:t xml:space="preserve"> 0.400 (0.52)</w:t>
            </w:r>
          </w:p>
        </w:tc>
      </w:tr>
    </w:tbl>
    <w:p>
      <w:pPr>
        <w:pStyle w:val="Normal"/>
        <w:rPr>
          <w:color w:val="000000"/>
        </w:rPr>
      </w:pPr>
      <w:r>
        <w:rPr>
          <w:color w:val="000000"/>
        </w:rPr>
      </w:r>
    </w:p>
    <w:p>
      <w:pPr>
        <w:pStyle w:val="Normal"/>
        <w:rPr/>
      </w:pPr>
      <w:r>
        <w:rPr>
          <w:color w:val="000000"/>
        </w:rPr>
        <w:t xml:space="preserve">We see that both models are generally consistent with each other.  The mean return </w:t>
      </w:r>
      <w:r>
        <w:rPr>
          <w:rFonts w:eastAsia="Symbol" w:cs="Symbol" w:ascii="Symbol" w:hAnsi="Symbol"/>
          <w:color w:val="000000"/>
        </w:rPr>
        <w:sym w:font="Symbol" w:char="f06b"/>
      </w:r>
      <w:r>
        <w:rPr>
          <w:color w:val="000000"/>
        </w:rPr>
        <w:t xml:space="preserve"> and mean jump size </w:t>
      </w:r>
      <w:r>
        <w:rPr>
          <w:color w:val="000000"/>
        </w:rPr>
      </w:r>
      <m:oMath xmlns:m="http://schemas.openxmlformats.org/officeDocument/2006/math">
        <m:acc>
          <m:accPr>
            <m:chr m:val="¯"/>
          </m:accPr>
          <m:e>
            <m:r>
              <m:t xml:space="preserve">κ</m:t>
            </m:r>
          </m:e>
        </m:acc>
      </m:oMath>
      <w:r>
        <w:rPr>
          <w:color w:val="000000"/>
        </w:rPr>
        <w:t xml:space="preserve"> are small and poorly determined in both models.  The pure diffusion variance </w:t>
      </w:r>
      <w:r>
        <w:rPr>
          <w:rFonts w:eastAsia="Symbol" w:cs="Symbol" w:ascii="Symbol" w:hAnsi="Symbol"/>
          <w:color w:val="000000"/>
        </w:rPr>
        <w:sym w:font="Symbol" w:char="f073"/>
      </w:r>
      <w:r>
        <w:rPr>
          <w:color w:val="000000"/>
          <w:vertAlign w:val="superscript"/>
        </w:rPr>
        <w:t xml:space="preserve">2 </w:t>
      </w:r>
      <w:r>
        <w:rPr>
          <w:color w:val="000000"/>
        </w:rPr>
        <w:t xml:space="preserve">is twice as large as the constant term </w:t>
      </w:r>
      <w:r>
        <w:rPr>
          <w:rFonts w:eastAsia="Symbol" w:cs="Symbol" w:ascii="Symbol" w:hAnsi="Symbol"/>
          <w:color w:val="000000"/>
        </w:rPr>
        <w:sym w:font="Symbol" w:char="f061"/>
      </w:r>
      <w:r>
        <w:rPr>
          <w:color w:val="000000"/>
          <w:vertAlign w:val="subscript"/>
        </w:rPr>
        <w:t>0</w:t>
      </w:r>
      <w:r>
        <w:rPr>
          <w:color w:val="000000"/>
        </w:rPr>
        <w:t xml:space="preserve"> in the GJD model. However calculating the unconditional variance in the GJD model yields about 0.07 which is in good agreement with the pure diffusion variance.  Interestingly, the jump frequency </w:t>
      </w:r>
      <w:r>
        <w:rPr>
          <w:i/>
          <w:iCs/>
          <w:color w:val="000000"/>
        </w:rPr>
        <w:t>h</w:t>
      </w:r>
      <w:r>
        <w:rPr>
          <w:color w:val="000000"/>
        </w:rPr>
        <w:t xml:space="preserve"> in JD is twice that of the GJD model, while the jump variance </w:t>
      </w:r>
      <w:r>
        <w:rPr>
          <w:rFonts w:eastAsia="Symbol" w:cs="Symbol" w:ascii="Symbol" w:hAnsi="Symbol"/>
          <w:color w:val="000000"/>
        </w:rPr>
        <w:sym w:font="Symbol" w:char="f067"/>
      </w:r>
      <w:r>
        <w:rPr>
          <w:color w:val="000000"/>
          <w:vertAlign w:val="superscript"/>
        </w:rPr>
        <w:t xml:space="preserve">2 </w:t>
      </w:r>
      <w:r>
        <w:rPr>
          <w:color w:val="000000"/>
        </w:rPr>
        <w:t>is slightly lower (although the difference is statistically insignificant). It is tempting to suggest that perhaps some of the intermediate valued returns are being accounted for differently in each model.  In the JD model, there is little choice but to classify them as jumps.  In the GJD model however, it may be possible to attribute them to the GARCH process, particularly if they tend to cluster in time.</w:t>
      </w:r>
    </w:p>
    <w:p>
      <w:pPr>
        <w:pStyle w:val="Normal"/>
        <w:rPr>
          <w:color w:val="000000"/>
        </w:rPr>
      </w:pPr>
      <w:r>
        <w:rPr>
          <w:color w:val="000000"/>
        </w:rPr>
      </w:r>
    </w:p>
    <w:p>
      <w:pPr>
        <w:pStyle w:val="Normal"/>
        <w:rPr>
          <w:color w:val="000000"/>
        </w:rPr>
      </w:pPr>
      <w:r>
        <w:rPr>
          <w:color w:val="000000"/>
        </w:rPr>
        <w:t>We conclude with figure (3.6) showing a typical simulated PDJD price path, a simulated GJD price path, and the actual NP15 data.  Figure (3.6) shows the return distributions for each of these data sets and illustrates how jump diffusion and GARCH can explain the leptokurtic behaviour observed in spot electricity prices.</w:t>
      </w:r>
    </w:p>
    <w:p>
      <w:pPr>
        <w:pStyle w:val="Normal"/>
        <w:rPr>
          <w:color w:val="000000"/>
        </w:rPr>
      </w:pPr>
      <w:r>
        <w:rPr>
          <w:color w:val="000000"/>
        </w:rPr>
      </w:r>
    </w:p>
    <w:p>
      <w:pPr>
        <w:pStyle w:val="Heading2"/>
        <w:ind w:hanging="0" w:start="0"/>
        <w:rPr>
          <w:color w:val="000000"/>
        </w:rPr>
      </w:pPr>
      <w:r>
        <w:rPr>
          <w:color w:val="000000"/>
        </w:rPr>
        <w:t>3.5</w:t>
        <w:tab/>
        <w:t>Summary</w:t>
      </w:r>
    </w:p>
    <w:p>
      <w:pPr>
        <w:pStyle w:val="Normal"/>
        <w:rPr>
          <w:color w:val="000000"/>
        </w:rPr>
      </w:pPr>
      <w:r>
        <w:rPr>
          <w:color w:val="000000"/>
        </w:rPr>
      </w:r>
      <w:r>
        <w:br w:type="page"/>
      </w:r>
    </w:p>
    <w:p>
      <w:pPr>
        <w:pStyle w:val="Normal"/>
        <w:rPr/>
      </w:pPr>
      <w:r>
        <w:rPr/>
        <w:t>References:</w:t>
      </w:r>
    </w:p>
    <w:p>
      <w:pPr>
        <w:pStyle w:val="Header"/>
        <w:tabs>
          <w:tab w:val="clear" w:pos="4320"/>
          <w:tab w:val="clear" w:pos="8640"/>
        </w:tabs>
        <w:rPr/>
      </w:pPr>
      <w:r>
        <w:rPr/>
      </w:r>
    </w:p>
    <w:p>
      <w:pPr>
        <w:pStyle w:val="Normal"/>
        <w:rPr/>
      </w:pPr>
      <w:r>
        <w:rPr/>
        <w:t xml:space="preserve">Engle, R.F.,  (1982)  "Autorregressive Conditional Heteroskedasticity with Estimates of the Variance of United Kingdom Inflation", </w:t>
      </w:r>
      <w:r>
        <w:rPr>
          <w:i/>
        </w:rPr>
        <w:t>Econometrica</w:t>
      </w:r>
      <w:r>
        <w:rPr/>
        <w:t xml:space="preserve">, </w:t>
      </w:r>
      <w:r>
        <w:rPr>
          <w:b/>
        </w:rPr>
        <w:t>50</w:t>
      </w:r>
      <w:r>
        <w:rPr/>
        <w:t>, 987-1008</w:t>
      </w:r>
    </w:p>
    <w:p>
      <w:pPr>
        <w:pStyle w:val="Normal"/>
        <w:rPr/>
      </w:pPr>
      <w:r>
        <w:rPr/>
      </w:r>
    </w:p>
    <w:p>
      <w:pPr>
        <w:pStyle w:val="Normal"/>
        <w:rPr/>
      </w:pPr>
      <w:r>
        <w:rPr/>
        <w:t xml:space="preserve">Bollerslev, T., (1986) "Generalized Autorregressive Conditional Heteroskedasticity", </w:t>
      </w:r>
      <w:r>
        <w:rPr>
          <w:i/>
        </w:rPr>
        <w:t>Journal of Econometrics</w:t>
      </w:r>
      <w:r>
        <w:rPr/>
        <w:t xml:space="preserve">, </w:t>
      </w:r>
      <w:r>
        <w:rPr>
          <w:b/>
        </w:rPr>
        <w:t xml:space="preserve">31, </w:t>
      </w:r>
      <w:r>
        <w:rPr/>
        <w:t>307-327</w:t>
      </w:r>
    </w:p>
    <w:p>
      <w:pPr>
        <w:pStyle w:val="Normal"/>
        <w:rPr>
          <w:b/>
        </w:rPr>
      </w:pPr>
      <w:r>
        <w:rPr>
          <w:b/>
        </w:rPr>
      </w:r>
    </w:p>
    <w:p>
      <w:pPr>
        <w:pStyle w:val="Normal"/>
        <w:rPr/>
      </w:pPr>
      <w:r>
        <w:rPr/>
        <w:t xml:space="preserve">Nelson, D.B., (1991) "Conditional Heteroskedasticity in Asset Returns: A New Approach", </w:t>
      </w:r>
      <w:r>
        <w:rPr>
          <w:i/>
        </w:rPr>
        <w:t>Econometrica</w:t>
      </w:r>
      <w:r>
        <w:rPr/>
        <w:t xml:space="preserve">, </w:t>
      </w:r>
      <w:r>
        <w:rPr>
          <w:b/>
        </w:rPr>
        <w:t>59</w:t>
      </w:r>
      <w:r>
        <w:rPr/>
        <w:t>, 347-370</w:t>
      </w:r>
    </w:p>
    <w:p>
      <w:pPr>
        <w:pStyle w:val="Normal"/>
        <w:rPr/>
      </w:pPr>
      <w:r>
        <w:rPr/>
      </w:r>
    </w:p>
    <w:p>
      <w:pPr>
        <w:pStyle w:val="Normal"/>
        <w:rPr/>
      </w:pPr>
      <w:r>
        <w:rPr/>
        <w:t xml:space="preserve">Greene, W.H., (1997) </w:t>
      </w:r>
      <w:r>
        <w:rPr>
          <w:i/>
        </w:rPr>
        <w:t>Econometric Analysis</w:t>
      </w:r>
      <w:r>
        <w:rPr/>
        <w:t xml:space="preserve">, </w:t>
      </w:r>
      <w:r>
        <w:rPr>
          <w:i/>
        </w:rPr>
        <w:t>3</w:t>
      </w:r>
      <w:r>
        <w:rPr>
          <w:i/>
          <w:vertAlign w:val="superscript"/>
        </w:rPr>
        <w:t>rd</w:t>
      </w:r>
      <w:r>
        <w:rPr>
          <w:i/>
        </w:rPr>
        <w:t xml:space="preserve"> ed.</w:t>
      </w:r>
      <w:r>
        <w:rPr/>
        <w:t>, New Jersey: Prentice Hall</w:t>
      </w:r>
    </w:p>
    <w:p>
      <w:pPr>
        <w:pStyle w:val="Normal"/>
        <w:rPr/>
      </w:pPr>
      <w:r>
        <w:rPr/>
      </w:r>
    </w:p>
    <w:p>
      <w:pPr>
        <w:pStyle w:val="Normal"/>
        <w:rPr/>
      </w:pPr>
      <w:r>
        <w:rPr/>
        <w:t xml:space="preserve">Davidson, R., and MacKinnon, J.G., (1993), </w:t>
      </w:r>
      <w:r>
        <w:rPr>
          <w:i/>
        </w:rPr>
        <w:t>Estimation and Inference in Econometrics</w:t>
      </w:r>
      <w:r>
        <w:rPr/>
        <w:t>, New York: Oxford University Press</w:t>
      </w:r>
    </w:p>
    <w:p>
      <w:pPr>
        <w:pStyle w:val="Normal"/>
        <w:rPr/>
      </w:pPr>
      <w:r>
        <w:rPr/>
      </w:r>
    </w:p>
    <w:p>
      <w:pPr>
        <w:pStyle w:val="Normal"/>
        <w:rPr/>
      </w:pPr>
      <w:r>
        <w:rPr/>
        <w:t xml:space="preserve">Jarque, C.M. and Bera, A.K., (1980), "Efficient Tests for Normality, Homoskedacity, and Serial Dependence of Regression Residuals", </w:t>
      </w:r>
      <w:r>
        <w:rPr>
          <w:i/>
        </w:rPr>
        <w:t>Economics Letters</w:t>
      </w:r>
      <w:r>
        <w:rPr/>
        <w:t xml:space="preserve">, </w:t>
      </w:r>
      <w:r>
        <w:rPr>
          <w:b/>
        </w:rPr>
        <w:t>63</w:t>
      </w:r>
      <w:r>
        <w:rPr/>
        <w:t>, 7-36</w:t>
      </w:r>
    </w:p>
    <w:p>
      <w:pPr>
        <w:pStyle w:val="Normal"/>
        <w:rPr/>
      </w:pPr>
      <w:r>
        <w:rPr/>
      </w:r>
    </w:p>
    <w:p>
      <w:pPr>
        <w:pStyle w:val="Normal"/>
        <w:rPr/>
      </w:pPr>
      <w:r>
        <w:rPr/>
        <w:t xml:space="preserve">Hull, J.C, (1999), </w:t>
      </w:r>
      <w:r>
        <w:rPr>
          <w:i/>
        </w:rPr>
        <w:t>Options, Futures, and Other Derivatives, 4</w:t>
      </w:r>
      <w:r>
        <w:rPr>
          <w:i/>
          <w:vertAlign w:val="superscript"/>
        </w:rPr>
        <w:t>th</w:t>
      </w:r>
      <w:r>
        <w:rPr>
          <w:i/>
        </w:rPr>
        <w:t xml:space="preserve"> ed.,</w:t>
      </w:r>
      <w:r>
        <w:rPr/>
        <w:t xml:space="preserve"> New Jersey: Prentice-Hall</w:t>
      </w:r>
    </w:p>
    <w:p>
      <w:pPr>
        <w:pStyle w:val="Normal"/>
        <w:rPr/>
      </w:pPr>
      <w:r>
        <w:rPr/>
      </w:r>
    </w:p>
    <w:p>
      <w:pPr>
        <w:pStyle w:val="Normal"/>
        <w:rPr/>
      </w:pPr>
      <w:r>
        <w:rPr/>
        <w:t xml:space="preserve">Schwarz, G., (1978), "Estimating the Dimensions of a Model", </w:t>
      </w:r>
      <w:r>
        <w:rPr>
          <w:i/>
        </w:rPr>
        <w:t>Annals of Statistics</w:t>
      </w:r>
      <w:r>
        <w:rPr/>
        <w:t xml:space="preserve">, </w:t>
      </w:r>
      <w:r>
        <w:rPr>
          <w:b/>
        </w:rPr>
        <w:t>6</w:t>
      </w:r>
      <w:r>
        <w:rPr/>
        <w:t>, 461-464.</w:t>
      </w:r>
    </w:p>
    <w:p>
      <w:pPr>
        <w:pStyle w:val="Normal"/>
        <w:rPr/>
      </w:pPr>
      <w:r>
        <w:rPr/>
      </w:r>
    </w:p>
    <w:sectPr>
      <w:headerReference w:type="default" r:id="rId14"/>
      <w:footerReference w:type="default" r:id="rId15"/>
      <w:endnotePr>
        <w:pos w:val="sectEnd"/>
        <w:numFmt w:val="lowerRoman"/>
      </w:end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t>1</w:t>
      </w:r>
      <w:r>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ED_c03_volatility.doc</w:t>
    </w:r>
    <w:r>
      <w:rPr>
        <w:i/>
      </w:rPr>
      <w:fldChar w:fldCharType="end"/>
    </w:r>
    <w:r>
      <w:rPr>
        <w:i/>
      </w:rPr>
      <w:tab/>
      <w:tab/>
    </w:r>
    <w:r>
      <w:rPr>
        <w:rStyle w:val="PageNumber"/>
        <w:i/>
      </w:rPr>
      <w:fldChar w:fldCharType="begin"/>
    </w:r>
    <w:r>
      <w:rPr>
        <w:rStyle w:val="PageNumber"/>
        <w:i/>
      </w:rPr>
      <w:instrText xml:space="preserve"> PAGE </w:instrText>
    </w:r>
    <w:r>
      <w:rPr>
        <w:rStyle w:val="PageNumber"/>
        <w:i/>
      </w:rPr>
      <w:fldChar w:fldCharType="separate"/>
    </w:r>
    <w:r>
      <w:rPr>
        <w:rStyle w:val="PageNumber"/>
        <w:i/>
      </w:rPr>
      <w:t>31</w:t>
    </w:r>
    <w:r>
      <w:rPr>
        <w:rStyle w:val="PageNumber"/>
        <w:i/>
      </w:rPr>
      <w:fldChar w:fldCharType="end"/>
    </w:r>
    <w:r>
      <w:rPr>
        <w:rStyle w:val="PageNumber"/>
        <w:i/>
      </w:rPr>
      <w:t>/</w:t>
    </w:r>
    <w:r>
      <w:rPr>
        <w:rStyle w:val="PageNumber"/>
        <w:i/>
      </w:rPr>
      <w:fldChar w:fldCharType="begin"/>
    </w:r>
    <w:r>
      <w:rPr>
        <w:rStyle w:val="PageNumber"/>
        <w:i/>
      </w:rPr>
      <w:instrText xml:space="preserve"> NUMPAGES \* ARABIC </w:instrText>
    </w:r>
    <w:r>
      <w:rPr>
        <w:rStyle w:val="PageNumber"/>
        <w:i/>
      </w:rPr>
      <w:fldChar w:fldCharType="separate"/>
    </w:r>
    <w:r>
      <w:rPr>
        <w:rStyle w:val="PageNumber"/>
        <w:i/>
      </w:rPr>
      <w:t>31</w:t>
    </w:r>
    <w:r>
      <w:rPr>
        <w:rStyle w:val="PageNumber"/>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Volatility Estimation in Energy Markets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endnotePr>
    <w:pos w:val="sectEnd"/>
    <w:numFmt w:val="lowerRoman"/>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spacing w:lineRule="auto" w:line="360"/>
      <w:textAlignment w:val="baseline"/>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sz w:val="28"/>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spacing w:lineRule="auto" w:line="240"/>
      <w:jc w:val="center"/>
    </w:pPr>
    <w:rPr>
      <w:b/>
      <w:sz w:val="40"/>
    </w:rPr>
  </w:style>
  <w:style w:type="paragraph" w:styleId="List">
    <w:name w:val="List"/>
    <w:basedOn w:val="BodyText"/>
    <w:pPr/>
    <w:rPr>
      <w:rFonts w:cs="NotoSans NF"/>
    </w:rPr>
  </w:style>
  <w:style w:type="paragraph" w:styleId="Caption">
    <w:name w:val="caption"/>
    <w:basedOn w:val="Normal"/>
    <w:next w:val="Normal"/>
    <w:qFormat/>
    <w:pPr>
      <w:overflowPunct w:val="true"/>
      <w:autoSpaceDE w:val="true"/>
      <w:spacing w:lineRule="auto" w:line="240" w:before="120" w:after="120"/>
      <w:textAlignment w:val="auto"/>
    </w:pPr>
    <w:rPr>
      <w:b/>
      <w:color w:val="000000"/>
      <w:sz w:val="20"/>
      <w:lang w:val="en-U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Equation">
    <w:name w:val="Equation"/>
    <w:basedOn w:val="Normal"/>
    <w:qFormat/>
    <w:pPr>
      <w:tabs>
        <w:tab w:val="clear" w:pos="720"/>
        <w:tab w:val="center" w:pos="4320" w:leader="none"/>
        <w:tab w:val="left" w:pos="8100" w:leader="none"/>
      </w:tabs>
    </w:pPr>
    <w:rPr/>
  </w:style>
  <w:style w:type="paragraph" w:styleId="FootnoteText">
    <w:name w:val="footnote text"/>
    <w:basedOn w:val="Normal"/>
    <w:pPr>
      <w:spacing w:lineRule="auto" w:line="240"/>
      <w:ind w:hanging="720" w:start="720" w:end="0"/>
    </w:pPr>
    <w:rPr>
      <w:sz w:val="20"/>
    </w:rPr>
  </w:style>
  <w:style w:type="paragraph" w:styleId="STANDARDPARALEVEL">
    <w:name w:val="STANDARD PARA LEVEL"/>
    <w:qFormat/>
    <w:pPr>
      <w:widowControl/>
      <w:overflowPunct w:val="false"/>
      <w:autoSpaceDE w:val="false"/>
      <w:bidi w:val="0"/>
      <w:spacing w:lineRule="exact" w:line="240"/>
      <w:ind w:hanging="0" w:start="720" w:end="0"/>
      <w:textAlignment w:val="baseline"/>
    </w:pPr>
    <w:rPr>
      <w:rFonts w:ascii="Palatino" w:hAnsi="Palatino" w:eastAsia="Times New Roman" w:cs="Palatino"/>
      <w:color w:val="auto"/>
      <w:sz w:val="22"/>
      <w:szCs w:val="20"/>
      <w:lang w:val="en-GB" w:bidi="ar-SA" w:eastAsia="zh-CN"/>
    </w:rPr>
  </w:style>
  <w:style w:type="paragraph" w:styleId="smtxtHEADING3">
    <w:name w:val="(smtxt) HEADING 3"/>
    <w:basedOn w:val="Normal"/>
    <w:next w:val="smtxtNORMAL"/>
    <w:qFormat/>
    <w:pPr>
      <w:spacing w:lineRule="auto" w:line="240"/>
    </w:pPr>
    <w:rPr>
      <w:color w:val="800000"/>
      <w:sz w:val="42"/>
      <w:u w:val="single"/>
    </w:rPr>
  </w:style>
  <w:style w:type="paragraph" w:styleId="smtxtNORMAL">
    <w:name w:val="(smtxt) NORMAL"/>
    <w:basedOn w:val="Normal"/>
    <w:qFormat/>
    <w:pPr>
      <w:spacing w:lineRule="auto" w:line="240"/>
    </w:pPr>
    <w:rPr>
      <w:color w:val="000080"/>
      <w:sz w:val="42"/>
    </w:rPr>
  </w:style>
  <w:style w:type="paragraph" w:styleId="smtxtHEADING2">
    <w:name w:val="(smtxt) HEADING 2"/>
    <w:basedOn w:val="Normal"/>
    <w:next w:val="smtxtNORMAL"/>
    <w:qFormat/>
    <w:pPr>
      <w:spacing w:lineRule="auto" w:line="240"/>
    </w:pPr>
    <w:rPr>
      <w:b/>
      <w:color w:val="800000"/>
      <w:sz w:val="40"/>
    </w:rPr>
  </w:style>
  <w:style w:type="paragraph" w:styleId="smtxtNMLINDENT">
    <w:name w:val="(smtxt) NML INDENT"/>
    <w:basedOn w:val="Normal"/>
    <w:next w:val="smtxtNORMAL"/>
    <w:qFormat/>
    <w:pPr>
      <w:spacing w:lineRule="auto" w:line="240"/>
      <w:ind w:hanging="0" w:start="720" w:end="0"/>
    </w:pPr>
    <w:rPr>
      <w:color w:val="000080"/>
      <w:sz w:val="42"/>
    </w:rPr>
  </w:style>
  <w:style w:type="paragraph" w:styleId="P2">
    <w:name w:val="P2"/>
    <w:qFormat/>
    <w:pPr>
      <w:widowControl/>
      <w:overflowPunct w:val="false"/>
      <w:autoSpaceDE w:val="false"/>
      <w:bidi w:val="0"/>
      <w:spacing w:lineRule="atLeast" w:line="480"/>
      <w:ind w:hanging="0" w:start="1440" w:end="0"/>
      <w:textAlignment w:val="baseline"/>
    </w:pPr>
    <w:rPr>
      <w:rFonts w:ascii="Palatino" w:hAnsi="Palatino" w:eastAsia="Times New Roman" w:cs="Palatino"/>
      <w:color w:val="0000FF"/>
      <w:sz w:val="22"/>
      <w:szCs w:val="20"/>
      <w:lang w:val="en-GB" w:bidi="ar-SA" w:eastAsia="zh-CN"/>
    </w:rPr>
  </w:style>
  <w:style w:type="paragraph" w:styleId="P3">
    <w:name w:val="P3"/>
    <w:qFormat/>
    <w:pPr>
      <w:widowControl/>
      <w:overflowPunct w:val="false"/>
      <w:autoSpaceDE w:val="false"/>
      <w:bidi w:val="0"/>
      <w:spacing w:lineRule="atLeast" w:line="480"/>
      <w:ind w:hanging="0" w:start="2160" w:end="0"/>
      <w:textAlignment w:val="baseline"/>
    </w:pPr>
    <w:rPr>
      <w:rFonts w:ascii="Palatino" w:hAnsi="Palatino" w:eastAsia="Times New Roman" w:cs="Palatino"/>
      <w:color w:val="0000FF"/>
      <w:sz w:val="22"/>
      <w:szCs w:val="20"/>
      <w:lang w:val="en-GB" w:bidi="ar-SA" w:eastAsia="zh-CN"/>
    </w:rPr>
  </w:style>
  <w:style w:type="paragraph" w:styleId="P4">
    <w:name w:val="P4"/>
    <w:qFormat/>
    <w:pPr>
      <w:widowControl/>
      <w:overflowPunct w:val="false"/>
      <w:autoSpaceDE w:val="false"/>
      <w:bidi w:val="0"/>
      <w:spacing w:lineRule="atLeast" w:line="480"/>
      <w:ind w:hanging="0" w:start="2880" w:end="0"/>
      <w:textAlignment w:val="baseline"/>
    </w:pPr>
    <w:rPr>
      <w:rFonts w:ascii="Palatino" w:hAnsi="Palatino" w:eastAsia="Times New Roman" w:cs="Palatino"/>
      <w:color w:val="0000FF"/>
      <w:sz w:val="22"/>
      <w:szCs w:val="20"/>
      <w:lang w:val="en-GB" w:bidi="ar-SA" w:eastAsia="zh-CN"/>
    </w:rPr>
  </w:style>
  <w:style w:type="paragraph" w:styleId="P5">
    <w:name w:val="P5"/>
    <w:qFormat/>
    <w:pPr>
      <w:widowControl/>
      <w:overflowPunct w:val="false"/>
      <w:autoSpaceDE w:val="false"/>
      <w:bidi w:val="0"/>
      <w:spacing w:lineRule="atLeast" w:line="480"/>
      <w:ind w:hanging="0" w:start="3600" w:end="0"/>
      <w:textAlignment w:val="baseline"/>
    </w:pPr>
    <w:rPr>
      <w:rFonts w:ascii="Palatino" w:hAnsi="Palatino" w:eastAsia="Times New Roman" w:cs="Palatino"/>
      <w:color w:val="0000FF"/>
      <w:sz w:val="22"/>
      <w:szCs w:val="20"/>
      <w:lang w:val="en-GB" w:bidi="ar-SA" w:eastAsia="zh-CN"/>
    </w:rPr>
  </w:style>
  <w:style w:type="paragraph" w:styleId="O1">
    <w:name w:val="O1"/>
    <w:qFormat/>
    <w:pPr>
      <w:widowControl/>
      <w:overflowPunct w:val="false"/>
      <w:autoSpaceDE w:val="false"/>
      <w:bidi w:val="0"/>
      <w:spacing w:lineRule="atLeast" w:line="480"/>
      <w:ind w:hanging="720" w:start="720" w:end="0"/>
      <w:textAlignment w:val="baseline"/>
    </w:pPr>
    <w:rPr>
      <w:rFonts w:ascii="Palatino" w:hAnsi="Palatino" w:eastAsia="Times New Roman" w:cs="Palatino"/>
      <w:color w:val="0000FF"/>
      <w:sz w:val="22"/>
      <w:szCs w:val="20"/>
      <w:lang w:val="en-GB" w:bidi="ar-SA" w:eastAsia="zh-CN"/>
    </w:rPr>
  </w:style>
  <w:style w:type="paragraph" w:styleId="QuotationsPara">
    <w:name w:val="Quotations Para"/>
    <w:qFormat/>
    <w:pPr>
      <w:widowControl/>
      <w:overflowPunct w:val="false"/>
      <w:autoSpaceDE w:val="false"/>
      <w:bidi w:val="0"/>
      <w:spacing w:lineRule="atLeast" w:line="360"/>
      <w:ind w:hanging="0" w:start="720" w:end="1440"/>
      <w:jc w:val="both"/>
      <w:textAlignment w:val="baseline"/>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overflowPunct w:val="false"/>
      <w:autoSpaceDE w:val="false"/>
      <w:bidi w:val="0"/>
      <w:spacing w:lineRule="atLeast" w:line="480"/>
      <w:jc w:val="end"/>
      <w:textAlignment w:val="baseline"/>
    </w:pPr>
    <w:rPr>
      <w:rFonts w:ascii="Palatino" w:hAnsi="Palatino" w:eastAsia="Times New Roman" w:cs="Palatino"/>
      <w:color w:val="0000FF"/>
      <w:sz w:val="22"/>
      <w:szCs w:val="20"/>
      <w:lang w:val="en-GB" w:bidi="ar-SA" w:eastAsia="zh-CN"/>
    </w:rPr>
  </w:style>
  <w:style w:type="paragraph" w:styleId="ReferencesPara">
    <w:name w:val="References Para"/>
    <w:qFormat/>
    <w:pPr>
      <w:widowControl/>
      <w:overflowPunct w:val="false"/>
      <w:autoSpaceDE w:val="false"/>
      <w:bidi w:val="0"/>
      <w:spacing w:lineRule="atLeast" w:line="360" w:before="120" w:after="0"/>
      <w:ind w:hanging="720" w:start="720" w:end="0"/>
      <w:textAlignment w:val="baseline"/>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overflowPunct w:val="false"/>
      <w:autoSpaceDE w:val="false"/>
      <w:bidi w:val="0"/>
      <w:jc w:val="center"/>
      <w:textAlignment w:val="baseline"/>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overflowPunct w:val="false"/>
      <w:autoSpaceDE w:val="false"/>
      <w:bidi w:val="0"/>
      <w:jc w:val="center"/>
      <w:textAlignment w:val="baseline"/>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overflowPunct w:val="false"/>
      <w:autoSpaceDE w:val="false"/>
      <w:bidi w:val="0"/>
      <w:spacing w:lineRule="atLeast" w:line="240"/>
      <w:jc w:val="center"/>
      <w:textAlignment w:val="baseline"/>
    </w:pPr>
    <w:rPr>
      <w:rFonts w:ascii="Palatino" w:hAnsi="Palatino" w:eastAsia="Times New Roman" w:cs="Palatino"/>
      <w:i/>
      <w:color w:val="008080"/>
      <w:sz w:val="18"/>
      <w:szCs w:val="20"/>
      <w:lang w:val="en-GB" w:bidi="ar-SA" w:eastAsia="zh-CN"/>
    </w:rPr>
  </w:style>
  <w:style w:type="paragraph" w:styleId="O2">
    <w:name w:val="O2"/>
    <w:qFormat/>
    <w:pPr>
      <w:widowControl/>
      <w:overflowPunct w:val="false"/>
      <w:autoSpaceDE w:val="false"/>
      <w:bidi w:val="0"/>
      <w:spacing w:lineRule="atLeast" w:line="480"/>
      <w:ind w:hanging="720" w:start="1440" w:end="0"/>
      <w:textAlignment w:val="baseline"/>
    </w:pPr>
    <w:rPr>
      <w:rFonts w:ascii="Palatino" w:hAnsi="Palatino" w:eastAsia="Times New Roman" w:cs="Palatino"/>
      <w:color w:val="0000FF"/>
      <w:sz w:val="22"/>
      <w:szCs w:val="20"/>
      <w:lang w:val="en-GB" w:bidi="ar-SA" w:eastAsia="zh-CN"/>
    </w:rPr>
  </w:style>
  <w:style w:type="paragraph" w:styleId="O3">
    <w:name w:val="O3"/>
    <w:qFormat/>
    <w:pPr>
      <w:widowControl/>
      <w:overflowPunct w:val="false"/>
      <w:autoSpaceDE w:val="false"/>
      <w:bidi w:val="0"/>
      <w:spacing w:lineRule="atLeast" w:line="480"/>
      <w:ind w:hanging="720" w:start="2160" w:end="0"/>
      <w:textAlignment w:val="baseline"/>
    </w:pPr>
    <w:rPr>
      <w:rFonts w:ascii="Palatino" w:hAnsi="Palatino" w:eastAsia="Times New Roman" w:cs="Palatino"/>
      <w:color w:val="0000FF"/>
      <w:sz w:val="22"/>
      <w:szCs w:val="20"/>
      <w:lang w:val="en-GB" w:bidi="ar-SA" w:eastAsia="zh-CN"/>
    </w:rPr>
  </w:style>
  <w:style w:type="paragraph" w:styleId="O4">
    <w:name w:val="O4"/>
    <w:qFormat/>
    <w:pPr>
      <w:widowControl/>
      <w:overflowPunct w:val="false"/>
      <w:autoSpaceDE w:val="false"/>
      <w:bidi w:val="0"/>
      <w:spacing w:lineRule="atLeast" w:line="480"/>
      <w:ind w:hanging="720" w:start="2880" w:end="0"/>
      <w:textAlignment w:val="baseline"/>
    </w:pPr>
    <w:rPr>
      <w:rFonts w:ascii="Palatino" w:hAnsi="Palatino" w:eastAsia="Times New Roman" w:cs="Palatino"/>
      <w:color w:val="0000FF"/>
      <w:sz w:val="22"/>
      <w:szCs w:val="20"/>
      <w:lang w:val="en-GB" w:bidi="ar-SA" w:eastAsia="zh-CN"/>
    </w:rPr>
  </w:style>
  <w:style w:type="paragraph" w:styleId="O5">
    <w:name w:val="O5"/>
    <w:qFormat/>
    <w:pPr>
      <w:widowControl/>
      <w:overflowPunct w:val="false"/>
      <w:autoSpaceDE w:val="false"/>
      <w:bidi w:val="0"/>
      <w:spacing w:lineRule="atLeast" w:line="480"/>
      <w:ind w:hanging="720" w:start="3600" w:end="0"/>
      <w:textAlignment w:val="baseline"/>
    </w:pPr>
    <w:rPr>
      <w:rFonts w:ascii="Palatino" w:hAnsi="Palatino" w:eastAsia="Times New Roman" w:cs="Palatino"/>
      <w:color w:val="0000FF"/>
      <w:sz w:val="22"/>
      <w:szCs w:val="20"/>
      <w:lang w:val="en-GB" w:bidi="ar-SA" w:eastAsia="zh-CN"/>
    </w:rPr>
  </w:style>
  <w:style w:type="paragraph" w:styleId="TI">
    <w:name w:val="TI"/>
    <w:qFormat/>
    <w:pPr>
      <w:widowControl/>
      <w:overflowPunct w:val="false"/>
      <w:autoSpaceDE w:val="false"/>
      <w:bidi w:val="0"/>
      <w:jc w:val="center"/>
      <w:textAlignment w:val="baseline"/>
    </w:pPr>
    <w:rPr>
      <w:rFonts w:ascii="palantino" w:hAnsi="palantino" w:eastAsia="Times New Roman" w:cs="palantino"/>
      <w:b/>
      <w:i/>
      <w:color w:val="auto"/>
      <w:sz w:val="38"/>
      <w:szCs w:val="20"/>
      <w:lang w:val="en-US" w:bidi="ar-SA" w:eastAsia="zh-CN"/>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right" w:pos="8064" w:leader="none"/>
      </w:tabs>
      <w:spacing w:lineRule="atLeast" w:line="240"/>
      <w:jc w:val="center"/>
    </w:pPr>
    <w:rPr>
      <w:sz w:val="40"/>
    </w:rPr>
  </w:style>
  <w:style w:type="paragraph" w:styleId="Pseudo-code">
    <w:name w:val="Pseudo-code"/>
    <w:basedOn w:val="Normal"/>
    <w:qFormat/>
    <w:pPr/>
    <w:rPr>
      <w:rFonts w:ascii="Courier New" w:hAnsi="Courier New" w:cs="Courier New"/>
      <w:sz w:val="28"/>
    </w:rPr>
  </w:style>
  <w:style w:type="paragraph" w:styleId="CommentText">
    <w:name w:val="Comment Text"/>
    <w:basedOn w:val="Normal"/>
    <w:qFormat/>
    <w:pPr/>
    <w:rPr>
      <w:sz w:val="20"/>
    </w:rPr>
  </w:style>
  <w:style w:type="paragraph" w:styleId="Figureheader">
    <w:name w:val="Figure header"/>
    <w:basedOn w:val="Normal"/>
    <w:qFormat/>
    <w:pPr>
      <w:jc w:val="center"/>
    </w:pPr>
    <w:rPr>
      <w:b/>
      <w:color w:val="FF00FF"/>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BodyText3">
    <w:name w:val="Body Text 3"/>
    <w:basedOn w:val="Normal"/>
    <w:qFormat/>
    <w:pPr/>
    <w:rPr>
      <w:i/>
      <w:iCs/>
    </w:rPr>
  </w:style>
  <w:style w:type="paragraph" w:styleId="endnotetext1">
    <w:name w:val="endnote text1"/>
    <w:basedOn w:val="Normal"/>
    <w:qFormat/>
    <w:pPr>
      <w:spacing w:lineRule="auto" w:line="240"/>
    </w:pPr>
    <w:rPr>
      <w:color w:val="000000"/>
      <w:sz w:val="20"/>
      <w:lang w:val="en-US"/>
    </w:rPr>
  </w:style>
  <w:style w:type="paragraph" w:styleId="BlockText">
    <w:name w:val="Block Text"/>
    <w:basedOn w:val="Normal"/>
    <w:qFormat/>
    <w:pPr>
      <w:ind w:hanging="0" w:start="720" w:end="720"/>
    </w:pPr>
    <w:rPr>
      <w:color w:val="000000"/>
    </w:rPr>
  </w:style>
  <w:style w:type="paragraph" w:styleId="EndnoteText">
    <w:name w:val="end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endnotes" Target="end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2000-06-05T21:02:00Z</dcterms:created>
  <dc:creator>Chris Strickland</dc:creator>
  <dc:description/>
  <dc:language>en-CA</dc:language>
  <cp:lastModifiedBy>Chris Strickland</cp:lastModifiedBy>
  <cp:lastPrinted>2000-06-28T18:17:00Z</cp:lastPrinted>
  <dcterms:modified xsi:type="dcterms:W3CDTF">2000-06-29T07:45:00Z</dcterms:modified>
  <cp:revision>48</cp:revision>
  <dc:subject>Introduction and outline</dc:subject>
  <dc:title>Numerical Methods Course (session 01)</dc:title>
</cp:coreProperties>
</file>