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aps w:val="false"/>
          <w:smallCaps w:val="false"/>
          <w:sz w:val="24"/>
        </w:rPr>
      </w:pPr>
      <w:r>
        <w:rPr>
          <w:caps w:val="false"/>
          <w:smallCaps w:val="false"/>
          <w:sz w:val="24"/>
        </w:rPr>
        <w:t>________________________________________________________________________</w:t>
      </w:r>
    </w:p>
    <w:p>
      <w:pPr>
        <w:pStyle w:val="Heading4"/>
        <w:ind w:hanging="0" w:start="0"/>
        <w:rPr>
          <w:b w:val="false"/>
          <w:caps/>
          <w:sz w:val="24"/>
        </w:rPr>
      </w:pPr>
      <w:r>
        <w:rPr>
          <w:b w:val="false"/>
          <w:caps/>
          <w:sz w:val="24"/>
        </w:rPr>
      </w:r>
    </w:p>
    <w:p>
      <w:pPr>
        <w:pStyle w:val="Heading4"/>
        <w:ind w:hanging="0" w:start="0"/>
        <w:rPr>
          <w:spacing w:val="100"/>
        </w:rPr>
      </w:pPr>
      <w:r>
        <w:rPr>
          <w:spacing w:val="100"/>
        </w:rPr>
        <w:t>MEMORANDUM</w:t>
      </w:r>
    </w:p>
    <w:p>
      <w:pPr>
        <w:pStyle w:val="Normal"/>
        <w:rPr>
          <w:b w:val="false"/>
          <w:caps w:val="false"/>
          <w:smallCaps w:val="false"/>
          <w:spacing w:val="100"/>
          <w:sz w:val="24"/>
        </w:rPr>
      </w:pPr>
      <w:r>
        <w:rPr>
          <w:b w:val="false"/>
          <w:caps w:val="false"/>
          <w:smallCaps w:val="false"/>
          <w:spacing w:val="100"/>
          <w:sz w:val="24"/>
        </w:rPr>
      </w:r>
    </w:p>
    <w:p>
      <w:pPr>
        <w:pStyle w:val="Normal"/>
        <w:rPr>
          <w:b w:val="false"/>
          <w:caps w:val="false"/>
          <w:smallCaps w:val="false"/>
          <w:sz w:val="24"/>
        </w:rPr>
      </w:pPr>
      <w:r>
        <w:rPr>
          <w:b w:val="false"/>
          <w:caps w:val="false"/>
          <w:smallCaps w:val="false"/>
          <w:sz w:val="24"/>
        </w:rPr>
      </w:r>
    </w:p>
    <w:p>
      <w:pPr>
        <w:pStyle w:val="Heading6"/>
        <w:rPr/>
      </w:pPr>
      <w:r>
        <w:rPr/>
        <w:t xml:space="preserve">To:  </w:t>
        <w:tab/>
        <w:tab/>
        <w:t>ISDA Board of Directors</w:t>
      </w:r>
    </w:p>
    <w:p>
      <w:pPr>
        <w:pStyle w:val="Normal"/>
        <w:ind w:start="1440" w:end="0"/>
        <w:rPr>
          <w:b w:val="false"/>
          <w:caps w:val="false"/>
          <w:smallCaps w:val="false"/>
          <w:sz w:val="24"/>
        </w:rPr>
      </w:pPr>
      <w:r>
        <w:rPr>
          <w:b w:val="false"/>
          <w:caps w:val="false"/>
          <w:smallCaps w:val="false"/>
          <w:sz w:val="24"/>
        </w:rPr>
      </w:r>
    </w:p>
    <w:p>
      <w:pPr>
        <w:pStyle w:val="Normal"/>
        <w:ind w:start="1440" w:end="0"/>
        <w:rPr>
          <w:b w:val="false"/>
          <w:caps w:val="false"/>
          <w:smallCaps w:val="false"/>
          <w:sz w:val="24"/>
        </w:rPr>
      </w:pPr>
      <w:r>
        <w:rPr>
          <w:b w:val="false"/>
          <w:caps w:val="false"/>
          <w:smallCaps w:val="false"/>
          <w:sz w:val="24"/>
        </w:rPr>
        <w:t xml:space="preserve">From:  </w:t>
        <w:tab/>
        <w:tab/>
        <w:t>Robert Pickel</w:t>
      </w:r>
    </w:p>
    <w:p>
      <w:pPr>
        <w:pStyle w:val="Normal"/>
        <w:ind w:start="1440" w:end="0"/>
        <w:rPr>
          <w:b w:val="false"/>
          <w:caps w:val="false"/>
          <w:smallCaps w:val="false"/>
          <w:sz w:val="24"/>
        </w:rPr>
      </w:pPr>
      <w:r>
        <w:rPr>
          <w:b w:val="false"/>
          <w:caps w:val="false"/>
          <w:smallCaps w:val="false"/>
          <w:sz w:val="24"/>
        </w:rPr>
      </w:r>
    </w:p>
    <w:p>
      <w:pPr>
        <w:pStyle w:val="Normal"/>
        <w:ind w:start="1440" w:end="0"/>
        <w:rPr>
          <w:b w:val="false"/>
          <w:caps w:val="false"/>
          <w:smallCaps w:val="false"/>
          <w:sz w:val="24"/>
        </w:rPr>
      </w:pPr>
      <w:r>
        <w:rPr>
          <w:b w:val="false"/>
          <w:caps w:val="false"/>
          <w:smallCaps w:val="false"/>
          <w:sz w:val="24"/>
        </w:rPr>
        <w:t xml:space="preserve">Re:  </w:t>
        <w:tab/>
        <w:tab/>
        <w:t>Electronic Delivery of ISDA Documentation</w:t>
      </w:r>
    </w:p>
    <w:p>
      <w:pPr>
        <w:pStyle w:val="Normal"/>
        <w:ind w:start="1440" w:end="0"/>
        <w:rPr>
          <w:b w:val="false"/>
          <w:caps w:val="false"/>
          <w:smallCaps w:val="false"/>
          <w:sz w:val="24"/>
        </w:rPr>
      </w:pPr>
      <w:r>
        <w:rPr>
          <w:b w:val="false"/>
          <w:caps w:val="false"/>
          <w:smallCaps w:val="false"/>
          <w:sz w:val="24"/>
        </w:rPr>
      </w:r>
    </w:p>
    <w:p>
      <w:pPr>
        <w:pStyle w:val="Heading1"/>
        <w:ind w:hanging="0" w:start="1440" w:end="0"/>
        <w:jc w:val="start"/>
        <w:rPr>
          <w:b w:val="false"/>
          <w:sz w:val="24"/>
        </w:rPr>
      </w:pPr>
      <w:r>
        <w:rPr>
          <w:b w:val="false"/>
          <w:sz w:val="24"/>
        </w:rPr>
        <w:t xml:space="preserve">Date: </w:t>
        <w:tab/>
        <w:tab/>
        <w:t>September 5, 2000</w:t>
      </w:r>
    </w:p>
    <w:p>
      <w:pPr>
        <w:pStyle w:val="Normal"/>
        <w:tabs>
          <w:tab w:val="clear" w:pos="720"/>
          <w:tab w:val="left" w:pos="4230" w:leader="none"/>
        </w:tabs>
        <w:jc w:val="center"/>
        <w:rPr>
          <w:caps w:val="false"/>
          <w:smallCaps w:val="false"/>
          <w:sz w:val="24"/>
        </w:rPr>
      </w:pPr>
      <w:r>
        <w:rPr>
          <w:caps w:val="false"/>
          <w:smallCaps w:val="false"/>
          <w:sz w:val="24"/>
        </w:rPr>
        <w:t>________________________________________________________________________</w:t>
      </w:r>
    </w:p>
    <w:p>
      <w:pPr>
        <w:pStyle w:val="Normal"/>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The process of putting the library of ISDA documents in electronic form is nearing completion. All documents have been converted into electronic form, but some additional work is being done to establish the appropriate links internally within documents as well as between documents. The goal is to have the documents available on a dedicated web site sometime during October. Most documents will be in an interactive form from the beginning, but some documents may be posted in a static form initially to be replaced as soon as possible by an interactive form.</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In preparation for the posting of the electronic version of the documents, the Executive Committee has discussed possible pricing scenarios for consideration by the full Board. The purpose of this memorandum and the attached spreadsheet is to summarize the recommendations on pricing and seek the approval of the Board for a pricing structure.</w:t>
      </w:r>
    </w:p>
    <w:p>
      <w:pPr>
        <w:pStyle w:val="Normal"/>
        <w:jc w:val="both"/>
        <w:rPr>
          <w:b w:val="false"/>
          <w:caps w:val="false"/>
          <w:smallCaps w:val="false"/>
          <w:sz w:val="24"/>
        </w:rPr>
      </w:pPr>
      <w:r>
        <w:rPr>
          <w:b w:val="false"/>
          <w:caps w:val="false"/>
          <w:smallCaps w:val="false"/>
          <w:sz w:val="24"/>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jc w:val="both"/>
        <w:rPr>
          <w:b w:val="false"/>
          <w:caps w:val="false"/>
          <w:smallCaps w:val="false"/>
          <w:sz w:val="24"/>
        </w:rPr>
      </w:pPr>
      <w:r>
        <w:rPr>
          <w:b w:val="false"/>
          <w:caps w:val="false"/>
          <w:smallCaps w:val="false"/>
          <w:sz w:val="24"/>
        </w:rPr>
        <w:t>In addition to develop the electronic version of documents, the Association has issued a request for proposals on the development of a document preparation, negotiation and execution facility that could be used in conjunction with electronic versions of the documents and legal and other advice developed by third parties. A copy of the RFP, which was previously distributed to the Board, is attached to this memorandum.</w:t>
      </w:r>
    </w:p>
    <w:p>
      <w:pPr>
        <w:pStyle w:val="Normal"/>
        <w:jc w:val="both"/>
        <w:rPr>
          <w:b w:val="false"/>
          <w:caps w:val="false"/>
          <w:smallCaps w:val="false"/>
          <w:sz w:val="24"/>
        </w:rPr>
      </w:pPr>
      <w:r>
        <w:rPr>
          <w:b w:val="false"/>
          <w:caps w:val="false"/>
          <w:smallCaps w:val="false"/>
          <w:sz w:val="24"/>
        </w:rPr>
      </w:r>
    </w:p>
    <w:p>
      <w:pPr>
        <w:pStyle w:val="Heading1"/>
        <w:ind w:hanging="0" w:start="0"/>
        <w:jc w:val="both"/>
        <w:rPr>
          <w:sz w:val="24"/>
          <w:u w:val="single"/>
        </w:rPr>
      </w:pPr>
      <w:r>
        <w:rPr>
          <w:sz w:val="24"/>
          <w:u w:val="single"/>
        </w:rPr>
        <w:t>Pricing Scenarios</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Attached is a spreadsheet that describes the pricing scenarios reviewed by the Executive Committee. The following assumptions apply:</w:t>
      </w:r>
    </w:p>
    <w:p>
      <w:pPr>
        <w:pStyle w:val="Normal"/>
        <w:jc w:val="both"/>
        <w:rPr>
          <w:b w:val="false"/>
          <w:caps w:val="false"/>
          <w:smallCaps w:val="false"/>
          <w:sz w:val="24"/>
        </w:rPr>
      </w:pPr>
      <w:r>
        <w:rPr>
          <w:b w:val="false"/>
          <w:caps w:val="false"/>
          <w:smallCaps w:val="false"/>
          <w:sz w:val="24"/>
        </w:rPr>
      </w:r>
    </w:p>
    <w:p>
      <w:pPr>
        <w:pStyle w:val="Normal"/>
        <w:numPr>
          <w:ilvl w:val="0"/>
          <w:numId w:val="7"/>
        </w:numPr>
        <w:tabs>
          <w:tab w:val="left" w:pos="720" w:leader="none"/>
        </w:tabs>
        <w:ind w:hanging="360" w:start="720" w:end="0"/>
        <w:jc w:val="both"/>
        <w:rPr>
          <w:b w:val="false"/>
          <w:caps w:val="false"/>
          <w:smallCaps w:val="false"/>
          <w:sz w:val="24"/>
        </w:rPr>
      </w:pPr>
      <w:r>
        <w:rPr>
          <w:b w:val="false"/>
          <w:caps w:val="false"/>
          <w:smallCaps w:val="false"/>
          <w:sz w:val="24"/>
        </w:rPr>
        <w:t>Static (non-interactive) electronic versions of the documents will be available for purchase on a per document basis. This will be the only way that non-members will be able to get electronic versions of the documents, and it is assumed that it will be the preferred method for a majority of members (half of Primary Members, 60% of Associates and all Subscribers). An electronic commerce web site is being developed to facilitate purchases of the electronic versions.</w:t>
      </w:r>
    </w:p>
    <w:p>
      <w:pPr>
        <w:pStyle w:val="Normal"/>
        <w:ind w:start="360" w:end="0"/>
        <w:jc w:val="both"/>
        <w:rPr>
          <w:b w:val="false"/>
          <w:caps w:val="false"/>
          <w:smallCaps w:val="false"/>
          <w:sz w:val="24"/>
        </w:rPr>
      </w:pPr>
      <w:r>
        <w:rPr>
          <w:b w:val="false"/>
          <w:caps w:val="false"/>
          <w:smallCaps w:val="false"/>
          <w:sz w:val="24"/>
        </w:rPr>
      </w:r>
    </w:p>
    <w:p>
      <w:pPr>
        <w:pStyle w:val="Normal"/>
        <w:numPr>
          <w:ilvl w:val="0"/>
          <w:numId w:val="8"/>
        </w:numPr>
        <w:tabs>
          <w:tab w:val="left" w:pos="720" w:leader="none"/>
        </w:tabs>
        <w:ind w:hanging="360" w:start="720" w:end="0"/>
        <w:jc w:val="both"/>
        <w:rPr>
          <w:b w:val="false"/>
          <w:caps w:val="false"/>
          <w:smallCaps w:val="false"/>
          <w:sz w:val="24"/>
        </w:rPr>
      </w:pPr>
      <w:r>
        <w:rPr>
          <w:b w:val="false"/>
          <w:caps w:val="false"/>
          <w:smallCaps w:val="false"/>
          <w:sz w:val="24"/>
        </w:rPr>
        <w:t>The interactive version of the documents will be made available only to members. Members can choose one of two ways of accessing this version of the documents:</w:t>
      </w:r>
    </w:p>
    <w:p>
      <w:pPr>
        <w:pStyle w:val="Normal"/>
        <w:ind w:start="360" w:end="0"/>
        <w:jc w:val="both"/>
        <w:rPr>
          <w:b w:val="false"/>
          <w:caps w:val="false"/>
          <w:smallCaps w:val="false"/>
          <w:sz w:val="24"/>
        </w:rPr>
      </w:pPr>
      <w:r>
        <w:rPr>
          <w:b w:val="false"/>
          <w:caps w:val="false"/>
          <w:smallCaps w:val="false"/>
          <w:sz w:val="24"/>
        </w:rPr>
      </w:r>
    </w:p>
    <w:p>
      <w:pPr>
        <w:pStyle w:val="Normal"/>
        <w:numPr>
          <w:ilvl w:val="0"/>
          <w:numId w:val="2"/>
        </w:numPr>
        <w:tabs>
          <w:tab w:val="clear" w:pos="720"/>
          <w:tab w:val="left" w:pos="1080" w:leader="none"/>
        </w:tabs>
        <w:ind w:hanging="360" w:start="1080" w:end="0"/>
        <w:jc w:val="both"/>
        <w:rPr>
          <w:b w:val="false"/>
          <w:caps w:val="false"/>
          <w:smallCaps w:val="false"/>
          <w:sz w:val="24"/>
        </w:rPr>
      </w:pPr>
      <w:r>
        <w:rPr>
          <w:b w:val="false"/>
          <w:caps w:val="false"/>
          <w:smallCaps w:val="false"/>
          <w:sz w:val="24"/>
          <w:u w:val="single"/>
        </w:rPr>
        <w:t>Internet Access:</w:t>
      </w:r>
      <w:r>
        <w:rPr>
          <w:b w:val="false"/>
          <w:caps w:val="false"/>
          <w:smallCaps w:val="false"/>
          <w:sz w:val="24"/>
        </w:rPr>
        <w:t xml:space="preserve"> Access is via a web site maintained by ISDA. Members must purchase a number of licenses based on the number of users at the member institution and will pay a corresponding annual fee.</w:t>
      </w:r>
    </w:p>
    <w:p>
      <w:pPr>
        <w:pStyle w:val="Normal"/>
        <w:ind w:start="720" w:end="0"/>
        <w:jc w:val="both"/>
        <w:rPr>
          <w:b w:val="false"/>
          <w:caps w:val="false"/>
          <w:smallCaps w:val="false"/>
          <w:sz w:val="24"/>
          <w:u w:val="single"/>
        </w:rPr>
      </w:pPr>
      <w:r>
        <w:rPr>
          <w:b w:val="false"/>
          <w:caps w:val="false"/>
          <w:smallCaps w:val="false"/>
          <w:sz w:val="24"/>
          <w:u w:val="single"/>
        </w:rPr>
      </w:r>
    </w:p>
    <w:p>
      <w:pPr>
        <w:pStyle w:val="Normal"/>
        <w:numPr>
          <w:ilvl w:val="0"/>
          <w:numId w:val="3"/>
        </w:numPr>
        <w:tabs>
          <w:tab w:val="clear" w:pos="720"/>
          <w:tab w:val="left" w:pos="1080" w:leader="none"/>
        </w:tabs>
        <w:ind w:hanging="360" w:start="1080" w:end="0"/>
        <w:jc w:val="both"/>
        <w:rPr>
          <w:b w:val="false"/>
          <w:caps w:val="false"/>
          <w:smallCaps w:val="false"/>
          <w:sz w:val="24"/>
        </w:rPr>
      </w:pPr>
      <w:r>
        <w:rPr>
          <w:b w:val="false"/>
          <w:caps w:val="false"/>
          <w:smallCaps w:val="false"/>
          <w:sz w:val="24"/>
          <w:u w:val="single"/>
        </w:rPr>
        <w:t>Intranet Access:</w:t>
      </w:r>
      <w:r>
        <w:rPr>
          <w:b w:val="false"/>
          <w:caps w:val="false"/>
          <w:smallCaps w:val="false"/>
          <w:sz w:val="24"/>
        </w:rPr>
        <w:t xml:space="preserve"> The member purchases the right to display the documents on its own internal intranet, which is accessible only by employees of the member institution. A flat annual fee would be charged for this access.</w:t>
      </w:r>
    </w:p>
    <w:p>
      <w:pPr>
        <w:pStyle w:val="Normal"/>
        <w:ind w:start="360" w:end="0"/>
        <w:jc w:val="both"/>
        <w:rPr>
          <w:b w:val="false"/>
          <w:caps w:val="false"/>
          <w:smallCaps w:val="false"/>
          <w:sz w:val="24"/>
          <w:u w:val="single"/>
        </w:rPr>
      </w:pPr>
      <w:r>
        <w:rPr>
          <w:b w:val="false"/>
          <w:caps w:val="false"/>
          <w:smallCaps w:val="false"/>
          <w:sz w:val="24"/>
          <w:u w:val="single"/>
        </w:rPr>
      </w:r>
    </w:p>
    <w:p>
      <w:pPr>
        <w:pStyle w:val="Normal"/>
        <w:numPr>
          <w:ilvl w:val="0"/>
          <w:numId w:val="5"/>
        </w:numPr>
        <w:tabs>
          <w:tab w:val="left" w:pos="720" w:leader="none"/>
        </w:tabs>
        <w:ind w:hanging="360" w:start="720" w:end="0"/>
        <w:jc w:val="both"/>
        <w:rPr>
          <w:b w:val="false"/>
          <w:caps w:val="false"/>
          <w:smallCaps w:val="false"/>
          <w:sz w:val="24"/>
        </w:rPr>
      </w:pPr>
      <w:r>
        <w:rPr>
          <w:b w:val="false"/>
          <w:caps w:val="false"/>
          <w:smallCaps w:val="false"/>
          <w:sz w:val="24"/>
        </w:rPr>
        <w:t>For internet access, the fee structure would involve some initial fee for the first user at a member institution and an additional fee for subsequent users at that institution. Different combinations of initial and subsequent fees were reviewed by the Executive Committee.  The first two scenarios were presented to the Executive Committee.  The third scenario was developed subsequent to the last Executive Committee meeting.</w:t>
      </w:r>
    </w:p>
    <w:p>
      <w:pPr>
        <w:pStyle w:val="Normal"/>
        <w:ind w:start="360" w:end="0"/>
        <w:jc w:val="both"/>
        <w:rPr>
          <w:b w:val="false"/>
          <w:caps w:val="false"/>
          <w:smallCaps w:val="false"/>
          <w:sz w:val="24"/>
        </w:rPr>
      </w:pPr>
      <w:r>
        <w:rPr>
          <w:b w:val="false"/>
          <w:caps w:val="false"/>
          <w:smallCaps w:val="false"/>
          <w:sz w:val="24"/>
        </w:rPr>
      </w:r>
    </w:p>
    <w:p>
      <w:pPr>
        <w:pStyle w:val="Normal"/>
        <w:numPr>
          <w:ilvl w:val="0"/>
          <w:numId w:val="6"/>
        </w:numPr>
        <w:tabs>
          <w:tab w:val="left" w:pos="720" w:leader="none"/>
        </w:tabs>
        <w:ind w:hanging="360" w:start="720" w:end="0"/>
        <w:jc w:val="both"/>
        <w:rPr>
          <w:b w:val="false"/>
          <w:caps w:val="false"/>
          <w:smallCaps w:val="false"/>
          <w:sz w:val="24"/>
        </w:rPr>
      </w:pPr>
      <w:r>
        <w:rPr>
          <w:b w:val="false"/>
          <w:caps w:val="false"/>
          <w:smallCaps w:val="false"/>
          <w:sz w:val="24"/>
        </w:rPr>
        <w:t xml:space="preserve">The assumptions for the number of members within each membership category who will use the internet and intranet versions of the documents is contained in the spreadsheet. It is assumed that 70% of those members who use the internet service will have five or fewer users. </w:t>
      </w:r>
    </w:p>
    <w:p>
      <w:pPr>
        <w:pStyle w:val="Normal"/>
        <w:ind w:start="360" w:end="0"/>
        <w:jc w:val="both"/>
        <w:rPr>
          <w:b w:val="false"/>
          <w:caps w:val="false"/>
          <w:smallCaps w:val="false"/>
          <w:sz w:val="24"/>
        </w:rPr>
      </w:pPr>
      <w:r>
        <w:rPr>
          <w:b w:val="false"/>
          <w:caps w:val="false"/>
          <w:smallCaps w:val="false"/>
          <w:sz w:val="24"/>
        </w:rPr>
      </w:r>
    </w:p>
    <w:p>
      <w:pPr>
        <w:pStyle w:val="Normal"/>
        <w:numPr>
          <w:ilvl w:val="0"/>
          <w:numId w:val="5"/>
        </w:numPr>
        <w:tabs>
          <w:tab w:val="left" w:pos="720" w:leader="none"/>
        </w:tabs>
        <w:ind w:hanging="360" w:start="720" w:end="0"/>
        <w:jc w:val="both"/>
        <w:rPr>
          <w:b w:val="false"/>
          <w:caps w:val="false"/>
          <w:smallCaps w:val="false"/>
          <w:sz w:val="24"/>
        </w:rPr>
      </w:pPr>
      <w:r>
        <w:rPr>
          <w:b w:val="false"/>
          <w:caps w:val="false"/>
          <w:smallCaps w:val="false"/>
          <w:sz w:val="24"/>
        </w:rPr>
        <w:t>Each user of the internet service will be issued a separate password to access the web site. Monitoring will be done to identify unauthorized use or excessive use that would indicate free-riding.</w:t>
      </w:r>
    </w:p>
    <w:p>
      <w:pPr>
        <w:pStyle w:val="Normal"/>
        <w:ind w:start="360" w:end="0"/>
        <w:jc w:val="both"/>
        <w:rPr>
          <w:b w:val="false"/>
          <w:caps w:val="false"/>
          <w:smallCaps w:val="false"/>
          <w:sz w:val="24"/>
        </w:rPr>
      </w:pPr>
      <w:r>
        <w:rPr>
          <w:b w:val="false"/>
          <w:caps w:val="false"/>
          <w:smallCaps w:val="false"/>
          <w:sz w:val="24"/>
        </w:rPr>
      </w:r>
    </w:p>
    <w:p>
      <w:pPr>
        <w:pStyle w:val="Normal"/>
        <w:numPr>
          <w:ilvl w:val="0"/>
          <w:numId w:val="4"/>
        </w:numPr>
        <w:tabs>
          <w:tab w:val="left" w:pos="720" w:leader="none"/>
        </w:tabs>
        <w:ind w:hanging="360" w:start="720" w:end="0"/>
        <w:jc w:val="both"/>
        <w:rPr>
          <w:b w:val="false"/>
          <w:caps w:val="false"/>
          <w:smallCaps w:val="false"/>
          <w:sz w:val="24"/>
        </w:rPr>
      </w:pPr>
      <w:r>
        <w:rPr>
          <w:b w:val="false"/>
          <w:caps w:val="false"/>
          <w:smallCaps w:val="false"/>
          <w:sz w:val="24"/>
        </w:rPr>
        <w:t>To encourage subscriptions to the interactive versions, it is proposed that any firm subscribing to the internet or intranet versions between the initiation of the service and the end of 2000 will be entitled to access to the documents through the end of 2001.</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As proposed, neither the internet nor the intranet version allows for the documents to be accessed by anyone other than the licensed users (in the case of the internet) or employees of the firm (in the case of the intranet). Several members have expressed an interest in being able to have the documents available to their clients on a dedicated area of the members’ internet site. No effort has been made to price such a service, although the fee would certainly be in excess of the intranet service price. Such an approach would most likely lead to greater erosion of publication revenue from direct document sales (why buy it from ISDA if you can get it from your bank’s web site?), but could be attractive as a member service for which members would be willing to pay. This is a point for further discussion by the Board.</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r>
    </w:p>
    <w:p>
      <w:pPr>
        <w:pStyle w:val="Normal"/>
        <w:rPr>
          <w:b w:val="false"/>
          <w:caps w:val="false"/>
          <w:smallCaps w:val="false"/>
          <w:sz w:val="24"/>
        </w:rPr>
      </w:pPr>
      <w:r>
        <w:rPr>
          <w:b w:val="false"/>
          <w:caps w:val="false"/>
          <w:smallCaps w:val="false"/>
          <w:sz w:val="24"/>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mc:AlternateContent>
        <mc:Choice Requires="wps">
          <w:drawing>
            <wp:anchor behindDoc="0" distT="0" distB="0" distL="114935" distR="114935" simplePos="0" locked="0" layoutInCell="0" allowOverlap="1" relativeHeight="4">
              <wp:simplePos x="0" y="0"/>
              <wp:positionH relativeFrom="column">
                <wp:posOffset>-457200</wp:posOffset>
              </wp:positionH>
              <wp:positionV relativeFrom="paragraph">
                <wp:posOffset>-640080</wp:posOffset>
              </wp:positionV>
              <wp:extent cx="6858000" cy="0"/>
              <wp:effectExtent l="0" t="5080" r="0" b="5080"/>
              <wp:wrapTopAndBottom/>
              <wp:docPr id="1" name=""/>
              <a:graphic xmlns:a="http://schemas.openxmlformats.org/drawingml/2006/main">
                <a:graphicData uri="http://schemas.microsoft.com/office/word/2010/wordprocessingShape">
                  <wps:wsp>
                    <wps:cNvSpPr/>
                    <wps:spPr>
                      <a:xfrm>
                        <a:off x="0" y="0"/>
                        <a:ext cx="6858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50.4pt" to="503.95pt,-50.4pt" stroked="t" o:allowincell="f" style="position:absolute">
              <v:stroke color="black" weight="9360" joinstyle="miter" endcap="flat"/>
              <v:fill o:detectmouseclick="t" on="false"/>
              <w10:wrap type="topAndBottom"/>
            </v:line>
          </w:pict>
        </mc:Fallback>
      </mc:AlternateContent>
    </w:r>
    <w:r>
      <mc:AlternateContent>
        <mc:Choice Requires="wps">
          <w:drawing>
            <wp:anchor behindDoc="1" distT="0" distB="0" distL="114935" distR="114935" simplePos="0" locked="0" layoutInCell="1" allowOverlap="1" relativeHeight="2">
              <wp:simplePos x="0" y="0"/>
              <wp:positionH relativeFrom="column">
                <wp:posOffset>3383280</wp:posOffset>
              </wp:positionH>
              <wp:positionV relativeFrom="paragraph">
                <wp:posOffset>-457200</wp:posOffset>
              </wp:positionV>
              <wp:extent cx="3017520" cy="800100"/>
              <wp:effectExtent l="0" t="0" r="0" b="0"/>
              <wp:wrapNone/>
              <wp:docPr id="2" name="Frame2"/>
              <a:graphic xmlns:a="http://schemas.openxmlformats.org/drawingml/2006/main">
                <a:graphicData uri="http://schemas.microsoft.com/office/word/2010/wordprocessingShape">
                  <wps:wsp>
                    <wps:cNvSpPr txBox="1"/>
                    <wps:spPr>
                      <a:xfrm>
                        <a:off x="0" y="0"/>
                        <a:ext cx="3017520" cy="800100"/>
                      </a:xfrm>
                      <a:prstGeom prst="rect"/>
                      <a:solidFill>
                        <a:srgbClr val="FFFFFF"/>
                      </a:solidFill>
                    </wps:spPr>
                    <wps:txbx>
                      <w:txbxContent>
                        <w:p>
                          <w:pPr>
                            <w:pStyle w:val="Footer"/>
                            <w:jc w:val="center"/>
                            <w:rPr>
                              <w:b w:val="false"/>
                              <w:caps w:val="false"/>
                              <w:smallCaps w:val="false"/>
                            </w:rPr>
                          </w:pPr>
                          <w:r>
                            <w:rPr>
                              <w:b w:val="false"/>
                              <w:caps w:val="false"/>
                              <w:smallCaps w:val="false"/>
                            </w:rPr>
                            <w:t>TOKYO</w:t>
                          </w:r>
                        </w:p>
                        <w:p>
                          <w:pPr>
                            <w:pStyle w:val="Footer"/>
                            <w:jc w:val="center"/>
                            <w:rPr/>
                          </w:pPr>
                          <w:r>
                            <w:rPr>
                              <w:b w:val="false"/>
                              <w:caps w:val="false"/>
                              <w:smallCaps w:val="false"/>
                            </w:rPr>
                            <w:t>Chuo Building, 1</w:t>
                          </w:r>
                          <w:r>
                            <w:rPr>
                              <w:b w:val="false"/>
                              <w:caps w:val="false"/>
                              <w:smallCaps w:val="false"/>
                              <w:vertAlign w:val="superscript"/>
                            </w:rPr>
                            <w:t>st</w:t>
                          </w:r>
                          <w:r>
                            <w:rPr>
                              <w:b w:val="false"/>
                              <w:caps w:val="false"/>
                              <w:smallCaps w:val="false"/>
                            </w:rPr>
                            <w:t xml:space="preserve"> Floor</w:t>
                          </w:r>
                        </w:p>
                        <w:p>
                          <w:pPr>
                            <w:pStyle w:val="Footer"/>
                            <w:jc w:val="center"/>
                            <w:rPr>
                              <w:b w:val="false"/>
                              <w:caps w:val="false"/>
                              <w:smallCaps w:val="false"/>
                            </w:rPr>
                          </w:pPr>
                          <w:r>
                            <w:rPr>
                              <w:b w:val="false"/>
                              <w:caps w:val="false"/>
                              <w:smallCaps w:val="false"/>
                            </w:rPr>
                            <w:t>2-17 Kagurazaka – Shinjuku-ku 162-0825</w:t>
                          </w:r>
                        </w:p>
                        <w:p>
                          <w:pPr>
                            <w:pStyle w:val="Footer"/>
                            <w:jc w:val="center"/>
                            <w:rPr>
                              <w:b w:val="false"/>
                              <w:caps w:val="false"/>
                              <w:smallCaps w:val="false"/>
                            </w:rPr>
                          </w:pPr>
                          <w:r>
                            <w:rPr>
                              <w:b w:val="false"/>
                              <w:caps w:val="false"/>
                              <w:smallCaps w:val="false"/>
                            </w:rPr>
                            <w:t>Phone: 81-3-5227-3282     Facsimile: 81-3-5227-3283</w:t>
                          </w:r>
                        </w:p>
                        <w:p>
                          <w:pPr>
                            <w:pStyle w:val="Normal"/>
                            <w:rPr>
                              <w:b w:val="false"/>
                              <w:caps w:val="false"/>
                              <w:smallCaps w:val="false"/>
                            </w:rPr>
                          </w:pPr>
                          <w:r>
                            <w:rPr>
                              <w:b w:val="false"/>
                              <w:caps w:val="false"/>
                              <w:smallCaps w:val="false"/>
                            </w:rPr>
                          </w:r>
                        </w:p>
                      </w:txbxContent>
                    </wps:txbx>
                    <wps:bodyPr anchor="t" lIns="92075" tIns="46355" rIns="92075" bIns="46355">
                      <a:noAutofit/>
                    </wps:bodyPr>
                  </wps:wsp>
                </a:graphicData>
              </a:graphic>
            </wp:anchor>
          </w:drawing>
        </mc:Choice>
        <mc:Fallback>
          <w:pict>
            <v:rect fillcolor="#FFFFFF" style="position:absolute;rotation:-0;width:237.6pt;height:63pt;mso-wrap-distance-left:9.05pt;mso-wrap-distance-right:9.05pt;mso-wrap-distance-top:0pt;mso-wrap-distance-bottom:0pt;margin-top:-36pt;mso-position-vertical-relative:text;margin-left:266.4pt;mso-position-horizontal-relative:text">
              <v:textbox inset="0.100694444444444in,0.0506944444444444in,0.100694444444444in,0.0506944444444444in">
                <w:txbxContent>
                  <w:p>
                    <w:pPr>
                      <w:pStyle w:val="Footer"/>
                      <w:jc w:val="center"/>
                      <w:rPr>
                        <w:b w:val="false"/>
                        <w:caps w:val="false"/>
                        <w:smallCaps w:val="false"/>
                      </w:rPr>
                    </w:pPr>
                    <w:r>
                      <w:rPr>
                        <w:b w:val="false"/>
                        <w:caps w:val="false"/>
                        <w:smallCaps w:val="false"/>
                      </w:rPr>
                      <w:t>TOKYO</w:t>
                    </w:r>
                  </w:p>
                  <w:p>
                    <w:pPr>
                      <w:pStyle w:val="Footer"/>
                      <w:jc w:val="center"/>
                      <w:rPr/>
                    </w:pPr>
                    <w:r>
                      <w:rPr>
                        <w:b w:val="false"/>
                        <w:caps w:val="false"/>
                        <w:smallCaps w:val="false"/>
                      </w:rPr>
                      <w:t>Chuo Building, 1</w:t>
                    </w:r>
                    <w:r>
                      <w:rPr>
                        <w:b w:val="false"/>
                        <w:caps w:val="false"/>
                        <w:smallCaps w:val="false"/>
                        <w:vertAlign w:val="superscript"/>
                      </w:rPr>
                      <w:t>st</w:t>
                    </w:r>
                    <w:r>
                      <w:rPr>
                        <w:b w:val="false"/>
                        <w:caps w:val="false"/>
                        <w:smallCaps w:val="false"/>
                      </w:rPr>
                      <w:t xml:space="preserve"> Floor</w:t>
                    </w:r>
                  </w:p>
                  <w:p>
                    <w:pPr>
                      <w:pStyle w:val="Footer"/>
                      <w:jc w:val="center"/>
                      <w:rPr>
                        <w:b w:val="false"/>
                        <w:caps w:val="false"/>
                        <w:smallCaps w:val="false"/>
                      </w:rPr>
                    </w:pPr>
                    <w:r>
                      <w:rPr>
                        <w:b w:val="false"/>
                        <w:caps w:val="false"/>
                        <w:smallCaps w:val="false"/>
                      </w:rPr>
                      <w:t>2-17 Kagurazaka – Shinjuku-ku 162-0825</w:t>
                    </w:r>
                  </w:p>
                  <w:p>
                    <w:pPr>
                      <w:pStyle w:val="Footer"/>
                      <w:jc w:val="center"/>
                      <w:rPr>
                        <w:b w:val="false"/>
                        <w:caps w:val="false"/>
                        <w:smallCaps w:val="false"/>
                      </w:rPr>
                    </w:pPr>
                    <w:r>
                      <w:rPr>
                        <w:b w:val="false"/>
                        <w:caps w:val="false"/>
                        <w:smallCaps w:val="false"/>
                      </w:rPr>
                      <w:t>Phone: 81-3-5227-3282     Facsimile: 81-3-5227-3283</w:t>
                    </w:r>
                  </w:p>
                  <w:p>
                    <w:pPr>
                      <w:pStyle w:val="Normal"/>
                      <w:rPr>
                        <w:b w:val="false"/>
                        <w:caps w:val="false"/>
                        <w:smallCaps w:val="false"/>
                      </w:rPr>
                    </w:pPr>
                    <w:r>
                      <w:rPr>
                        <w:b w:val="false"/>
                        <w:caps w:val="false"/>
                        <w:smallCaps w:val="false"/>
                      </w:rPr>
                    </w:r>
                  </w:p>
                </w:txbxContent>
              </v:textbox>
              <w10:wrap type="none"/>
            </v:rect>
          </w:pict>
        </mc:Fallback>
      </mc:AlternateContent>
    </w:r>
    <w:r>
      <mc:AlternateContent>
        <mc:Choice Requires="wps">
          <w:drawing>
            <wp:anchor behindDoc="1" distT="0" distB="0" distL="114935" distR="114935" simplePos="0" locked="0" layoutInCell="1" allowOverlap="1" relativeHeight="3">
              <wp:simplePos x="0" y="0"/>
              <wp:positionH relativeFrom="column">
                <wp:posOffset>-457200</wp:posOffset>
              </wp:positionH>
              <wp:positionV relativeFrom="paragraph">
                <wp:posOffset>-457200</wp:posOffset>
              </wp:positionV>
              <wp:extent cx="3383280" cy="640080"/>
              <wp:effectExtent l="0" t="0" r="0" b="0"/>
              <wp:wrapNone/>
              <wp:docPr id="3" name="Frame1"/>
              <a:graphic xmlns:a="http://schemas.openxmlformats.org/drawingml/2006/main">
                <a:graphicData uri="http://schemas.microsoft.com/office/word/2010/wordprocessingShape">
                  <wps:wsp>
                    <wps:cNvSpPr txBox="1"/>
                    <wps:spPr>
                      <a:xfrm>
                        <a:off x="0" y="0"/>
                        <a:ext cx="3383280" cy="640080"/>
                      </a:xfrm>
                      <a:prstGeom prst="rect"/>
                      <a:solidFill>
                        <a:srgbClr val="FFFFFF"/>
                      </a:solidFill>
                    </wps:spPr>
                    <wps:txbx>
                      <w:txbxContent>
                        <w:p>
                          <w:pPr>
                            <w:pStyle w:val="Heading1"/>
                            <w:ind w:hanging="0" w:start="0"/>
                            <w:rPr>
                              <w:b w:val="false"/>
                            </w:rPr>
                          </w:pPr>
                          <w:r>
                            <w:rPr>
                              <w:b w:val="false"/>
                            </w:rPr>
                            <w:t>LONDON</w:t>
                          </w:r>
                        </w:p>
                        <w:p>
                          <w:pPr>
                            <w:pStyle w:val="Heading1"/>
                            <w:ind w:hanging="0" w:start="0"/>
                            <w:rPr>
                              <w:b w:val="false"/>
                            </w:rPr>
                          </w:pPr>
                          <w:r>
                            <w:rPr>
                              <w:b w:val="false"/>
                            </w:rPr>
                            <w:t xml:space="preserve"> </w:t>
                          </w:r>
                          <w:r>
                            <w:rPr>
                              <w:b w:val="false"/>
                            </w:rPr>
                            <w:t>One New Change – EC4M 9QQ</w:t>
                          </w:r>
                        </w:p>
                        <w:p>
                          <w:pPr>
                            <w:pStyle w:val="Normal"/>
                            <w:jc w:val="center"/>
                            <w:rPr>
                              <w:b w:val="false"/>
                              <w:caps w:val="false"/>
                              <w:smallCaps w:val="false"/>
                            </w:rPr>
                          </w:pPr>
                          <w:r>
                            <w:rPr>
                              <w:b w:val="false"/>
                              <w:caps w:val="false"/>
                              <w:smallCaps w:val="false"/>
                            </w:rPr>
                            <w:t>Phone: 44-207-330-3550    Facsimile: 44-207-330-3555</w:t>
                          </w:r>
                        </w:p>
                      </w:txbxContent>
                    </wps:txbx>
                    <wps:bodyPr anchor="t" lIns="92075" tIns="46355" rIns="92075" bIns="46355">
                      <a:noAutofit/>
                    </wps:bodyPr>
                  </wps:wsp>
                </a:graphicData>
              </a:graphic>
            </wp:anchor>
          </w:drawing>
        </mc:Choice>
        <mc:Fallback>
          <w:pict>
            <v:rect fillcolor="#FFFFFF" style="position:absolute;rotation:-0;width:266.4pt;height:50.4pt;mso-wrap-distance-left:9.05pt;mso-wrap-distance-right:9.05pt;mso-wrap-distance-top:0pt;mso-wrap-distance-bottom:0pt;margin-top:-36pt;mso-position-vertical-relative:text;margin-left:-36pt;mso-position-horizontal-relative:text">
              <v:textbox inset="0.100694444444444in,0.0506944444444444in,0.100694444444444in,0.0506944444444444in">
                <w:txbxContent>
                  <w:p>
                    <w:pPr>
                      <w:pStyle w:val="Heading1"/>
                      <w:ind w:hanging="0" w:start="0"/>
                      <w:rPr>
                        <w:b w:val="false"/>
                      </w:rPr>
                    </w:pPr>
                    <w:r>
                      <w:rPr>
                        <w:b w:val="false"/>
                      </w:rPr>
                      <w:t>LONDON</w:t>
                    </w:r>
                  </w:p>
                  <w:p>
                    <w:pPr>
                      <w:pStyle w:val="Heading1"/>
                      <w:ind w:hanging="0" w:start="0"/>
                      <w:rPr>
                        <w:b w:val="false"/>
                      </w:rPr>
                    </w:pPr>
                    <w:r>
                      <w:rPr>
                        <w:b w:val="false"/>
                      </w:rPr>
                      <w:t xml:space="preserve"> </w:t>
                    </w:r>
                    <w:r>
                      <w:rPr>
                        <w:b w:val="false"/>
                      </w:rPr>
                      <w:t>One New Change – EC4M 9QQ</w:t>
                    </w:r>
                  </w:p>
                  <w:p>
                    <w:pPr>
                      <w:pStyle w:val="Normal"/>
                      <w:jc w:val="center"/>
                      <w:rPr>
                        <w:b w:val="false"/>
                        <w:caps w:val="false"/>
                        <w:smallCaps w:val="false"/>
                      </w:rPr>
                    </w:pPr>
                    <w:r>
                      <w:rPr>
                        <w:b w:val="false"/>
                        <w:caps w:val="false"/>
                        <w:smallCaps w:val="false"/>
                      </w:rPr>
                      <w:t>Phone: 44-207-330-3550    Facsimile: 44-207-330-3555</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b/>
        <w:sz w:val="24"/>
      </w:rPr>
      <w:fldChar w:fldCharType="begin"/>
    </w:r>
    <w:r>
      <w:rPr>
        <w:rStyle w:val="PageNumber"/>
        <w:sz w:val="24"/>
        <w:b/>
      </w:rPr>
      <w:instrText xml:space="preserve"> PAGE </w:instrText>
    </w:r>
    <w:r>
      <w:rPr>
        <w:rStyle w:val="PageNumber"/>
        <w:sz w:val="24"/>
        <w:b/>
      </w:rPr>
      <w:fldChar w:fldCharType="separate"/>
    </w:r>
    <w:r>
      <w:rPr>
        <w:rStyle w:val="PageNumber"/>
        <w:sz w:val="24"/>
        <w:b/>
      </w:rPr>
      <w:t>3</w:t>
    </w:r>
    <w:r>
      <w:rPr>
        <w:rStyle w:val="PageNumber"/>
        <w:sz w:val="24"/>
        <w:b/>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pPr>
    <w:r>
      <w:rPr>
        <w:b w:val="false"/>
        <w:sz w:val="96"/>
      </w:rPr>
      <w:t>ISDA</w:t>
    </w:r>
    <w:r>
      <w:rPr>
        <w:b w:val="false"/>
      </w:rPr>
      <w:t xml:space="preserve"> I</w:t>
    </w:r>
    <w:r>
      <w:rPr>
        <w:b w:val="false"/>
        <w:caps w:val="false"/>
        <w:smallCaps w:val="false"/>
      </w:rPr>
      <w:t>nternational Swaps and Derivatives Association, Inc.</w:t>
    </w:r>
  </w:p>
  <w:p>
    <w:pPr>
      <w:pStyle w:val="Header"/>
      <w:ind w:start="-720" w:end="0"/>
      <w:rPr/>
    </w:pPr>
    <w:r>
      <w:rPr>
        <w:b w:val="false"/>
        <w:caps w:val="false"/>
        <w:smallCaps w:val="false"/>
      </w:rPr>
      <w:t>600 Fifth Avenue, 27</w:t>
    </w:r>
    <w:r>
      <w:rPr>
        <w:b w:val="false"/>
        <w:caps w:val="false"/>
        <w:smallCaps w:val="false"/>
        <w:vertAlign w:val="superscript"/>
      </w:rPr>
      <w:t>th</w:t>
    </w:r>
    <w:r>
      <w:rPr>
        <w:b w:val="false"/>
        <w:caps w:val="false"/>
        <w:smallCaps w:val="false"/>
      </w:rPr>
      <w:t xml:space="preserve"> Floor</w:t>
    </w:r>
  </w:p>
  <w:p>
    <w:pPr>
      <w:pStyle w:val="Header"/>
      <w:ind w:start="-720" w:end="0"/>
      <w:rPr>
        <w:b w:val="false"/>
        <w:caps w:val="false"/>
        <w:smallCaps w:val="false"/>
      </w:rPr>
    </w:pPr>
    <w:r>
      <w:rPr>
        <w:b w:val="false"/>
        <w:caps w:val="false"/>
        <w:smallCaps w:val="false"/>
      </w:rPr>
      <w:t>Rockefeller Center</w:t>
    </w:r>
  </w:p>
  <w:p>
    <w:pPr>
      <w:pStyle w:val="Header"/>
      <w:ind w:start="-720" w:end="0"/>
      <w:rPr>
        <w:b w:val="false"/>
        <w:caps w:val="false"/>
        <w:smallCaps w:val="false"/>
      </w:rPr>
    </w:pPr>
    <w:r>
      <w:rPr>
        <w:b w:val="false"/>
        <w:caps w:val="false"/>
        <w:smallCaps w:val="false"/>
      </w:rPr>
      <w:t>New York, NY 10020-2302</w:t>
    </w:r>
  </w:p>
  <w:p>
    <w:pPr>
      <w:pStyle w:val="Header"/>
      <w:ind w:start="-720" w:end="0"/>
      <w:rPr>
        <w:b w:val="false"/>
        <w:caps w:val="false"/>
        <w:smallCaps w:val="false"/>
      </w:rPr>
    </w:pPr>
    <w:r>
      <w:rPr>
        <w:b w:val="false"/>
        <w:caps w:val="false"/>
        <w:smallCaps w:val="false"/>
      </w:rPr>
      <w:t>Telephone: (212) 332-1200</w:t>
    </w:r>
  </w:p>
  <w:p>
    <w:pPr>
      <w:pStyle w:val="Header"/>
      <w:ind w:start="-720" w:end="0"/>
      <w:rPr>
        <w:b w:val="false"/>
        <w:caps w:val="false"/>
        <w:smallCaps w:val="false"/>
      </w:rPr>
    </w:pPr>
    <w:r>
      <w:rPr>
        <w:b w:val="false"/>
        <w:caps w:val="false"/>
        <w:smallCaps w:val="false"/>
      </w:rPr>
      <w:t>Facsimile: (212) 332-1212</w:t>
    </w:r>
  </w:p>
  <w:p>
    <w:pPr>
      <w:pStyle w:val="Header"/>
      <w:ind w:start="-720" w:end="0"/>
      <w:rPr>
        <w:b w:val="false"/>
        <w:caps w:val="false"/>
        <w:smallCaps w:val="false"/>
      </w:rPr>
    </w:pPr>
    <w:r>
      <w:rPr>
        <w:b w:val="false"/>
        <w:caps w:val="false"/>
        <w:smallCaps w:val="false"/>
      </w:rPr>
      <w:t>email: isda@isda.org</w:t>
    </w:r>
  </w:p>
  <w:p>
    <w:pPr>
      <w:pStyle w:val="Header"/>
      <w:ind w:start="-720" w:end="0"/>
      <w:rPr>
        <w:b w:val="false"/>
        <w:caps w:val="false"/>
        <w:smallCaps w:val="false"/>
      </w:rPr>
    </w:pPr>
    <w:r>
      <w:rPr>
        <w:b w:val="false"/>
        <w:caps w:val="false"/>
        <w:smallCaps w:val="false"/>
      </w:rPr>
      <w:t>website: www.isda.org</w:t>
    </w:r>
  </w:p>
  <w:p>
    <w:pPr>
      <w:pStyle w:val="Header"/>
      <w:ind w:start="-720" w:end="0"/>
      <w:rPr>
        <w:b w:val="false"/>
        <w:caps w:val="false"/>
        <w:smallCaps w:val="false"/>
      </w:rPr>
    </w:pPr>
    <w:r>
      <w:rPr>
        <w:b w:val="false"/>
        <w:caps w:val="false"/>
        <w:smallCaps w:val="fals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aps/>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caps w:val="false"/>
      <w:smallCaps w:val="false"/>
    </w:rPr>
  </w:style>
  <w:style w:type="paragraph" w:styleId="Heading4">
    <w:name w:val="heading 4"/>
    <w:basedOn w:val="Normal"/>
    <w:next w:val="Normal"/>
    <w:qFormat/>
    <w:pPr>
      <w:keepNext w:val="true"/>
      <w:numPr>
        <w:ilvl w:val="3"/>
        <w:numId w:val="1"/>
      </w:numPr>
      <w:jc w:val="center"/>
      <w:outlineLvl w:val="3"/>
    </w:pPr>
    <w:rPr>
      <w:caps w:val="false"/>
      <w:smallCaps w:val="false"/>
      <w:sz w:val="24"/>
    </w:rPr>
  </w:style>
  <w:style w:type="paragraph" w:styleId="Heading6">
    <w:name w:val="heading 6"/>
    <w:basedOn w:val="Normal"/>
    <w:next w:val="Normal"/>
    <w:qFormat/>
    <w:pPr>
      <w:keepNext w:val="true"/>
      <w:numPr>
        <w:ilvl w:val="5"/>
        <w:numId w:val="1"/>
      </w:numPr>
      <w:ind w:hanging="0" w:start="1440" w:end="0"/>
      <w:outlineLvl w:val="5"/>
    </w:pPr>
    <w:rPr>
      <w:b w:val="false"/>
      <w:caps w:val="false"/>
      <w:smallCaps w:val="false"/>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2000-09-06T12:40:00Z</dcterms:created>
  <dc:creator>Milton Bellis</dc:creator>
  <dc:description/>
  <dc:language>en-CA</dc:language>
  <cp:lastModifiedBy>Barbara Hanlon</cp:lastModifiedBy>
  <cp:lastPrinted>2000-09-06T16:55:00Z</cp:lastPrinted>
  <dcterms:modified xsi:type="dcterms:W3CDTF">2000-09-06T18:29:00Z</dcterms:modified>
  <cp:revision>4</cp:revision>
  <dc:subject/>
  <dc:title>________________________________________________________________________</dc:title>
</cp:coreProperties>
</file>