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t>November 2, 2001</w:t>
      </w:r>
    </w:p>
    <w:p>
      <w:pPr>
        <w:pStyle w:val="Normal"/>
        <w:jc w:val="center"/>
        <w:rPr>
          <w:sz w:val="24"/>
        </w:rPr>
      </w:pPr>
      <w:r>
        <w:rPr>
          <w:sz w:val="24"/>
        </w:rPr>
      </w:r>
    </w:p>
    <w:p>
      <w:pPr>
        <w:pStyle w:val="Normal"/>
        <w:jc w:val="center"/>
        <w:rPr>
          <w:sz w:val="24"/>
          <w:u w:val="single"/>
        </w:rPr>
      </w:pPr>
      <w:r>
        <w:rPr>
          <w:sz w:val="24"/>
          <w:u w:val="single"/>
        </w:rPr>
      </w:r>
    </w:p>
    <w:p>
      <w:pPr>
        <w:pStyle w:val="Heading1"/>
        <w:ind w:hanging="0" w:start="0"/>
        <w:rPr>
          <w:b w:val="false"/>
          <w:bCs/>
          <w:i/>
          <w:i/>
          <w:iCs/>
          <w:u w:val="none"/>
        </w:rPr>
      </w:pPr>
      <w:r>
        <w:rPr>
          <w:b w:val="false"/>
          <w:bCs/>
          <w:i/>
          <w:iCs/>
          <w:u w:val="none"/>
        </w:rPr>
        <w:t xml:space="preserve">VIA FACSIMILE  (312) 663-7524    </w:t>
      </w:r>
    </w:p>
    <w:p>
      <w:pPr>
        <w:pStyle w:val="Heading1"/>
        <w:ind w:hanging="0" w:start="0"/>
        <w:rPr>
          <w:b w:val="false"/>
          <w:bCs/>
          <w:i/>
          <w:i/>
          <w:iCs/>
          <w:u w:val="none"/>
        </w:rPr>
      </w:pPr>
      <w:r>
        <w:rPr>
          <w:b w:val="false"/>
          <w:bCs/>
          <w:i/>
          <w:iCs/>
          <w:u w:val="none"/>
        </w:rPr>
      </w:r>
    </w:p>
    <w:p>
      <w:pPr>
        <w:pStyle w:val="Heading2"/>
        <w:ind w:hanging="0" w:start="0"/>
        <w:rPr/>
      </w:pPr>
      <w:r>
        <w:rPr/>
        <w:t>Man Financial Inc.</w:t>
      </w:r>
    </w:p>
    <w:p>
      <w:pPr>
        <w:pStyle w:val="Normal"/>
        <w:jc w:val="both"/>
        <w:rPr>
          <w:sz w:val="24"/>
        </w:rPr>
      </w:pPr>
      <w:r>
        <w:rPr>
          <w:sz w:val="24"/>
        </w:rPr>
        <w:t>440 South LaSalle Street</w:t>
      </w:r>
    </w:p>
    <w:p>
      <w:pPr>
        <w:pStyle w:val="Normal"/>
        <w:jc w:val="both"/>
        <w:rPr/>
      </w:pPr>
      <w:r>
        <w:rPr>
          <w:sz w:val="24"/>
        </w:rPr>
        <w:t>20</w:t>
      </w:r>
      <w:r>
        <w:rPr>
          <w:sz w:val="24"/>
          <w:vertAlign w:val="superscript"/>
        </w:rPr>
        <w:t>th</w:t>
      </w:r>
      <w:r>
        <w:rPr>
          <w:sz w:val="24"/>
        </w:rPr>
        <w:t xml:space="preserve"> Floor</w:t>
      </w:r>
    </w:p>
    <w:p>
      <w:pPr>
        <w:pStyle w:val="Heading2"/>
        <w:ind w:hanging="0" w:start="0"/>
        <w:rPr/>
      </w:pPr>
      <w:r>
        <w:rPr/>
        <w:t>Chicago IL  60605</w:t>
      </w:r>
    </w:p>
    <w:p>
      <w:pPr>
        <w:pStyle w:val="Normal"/>
        <w:jc w:val="both"/>
        <w:rPr>
          <w:sz w:val="24"/>
        </w:rPr>
      </w:pPr>
      <w:r>
        <w:rPr>
          <w:sz w:val="24"/>
        </w:rPr>
        <w:t>Attention:  Ira Polk</w:t>
      </w:r>
    </w:p>
    <w:p>
      <w:pPr>
        <w:pStyle w:val="Normal"/>
        <w:jc w:val="both"/>
        <w:rPr>
          <w:sz w:val="24"/>
        </w:rPr>
      </w:pPr>
      <w:r>
        <w:rPr>
          <w:sz w:val="24"/>
        </w:rPr>
      </w:r>
    </w:p>
    <w:p>
      <w:pPr>
        <w:pStyle w:val="BodyTextIndent"/>
        <w:rPr/>
      </w:pPr>
      <w:r>
        <w:rPr/>
        <w:tab/>
        <w:t>Re:</w:t>
        <w:tab/>
        <w:t>Customer Agreement dated April 19, 1993 between Enron North America Corp., formerly Enron Gas Marketing, Inc. (“</w:t>
      </w:r>
      <w:r>
        <w:rPr>
          <w:u w:val="single"/>
        </w:rPr>
        <w:t>ENA</w:t>
      </w:r>
      <w:r>
        <w:rPr/>
        <w:t>”) and Man Financial Inc., formerly E. D. &amp; F. Man International Futures Inc. (“</w:t>
      </w:r>
      <w:r>
        <w:rPr>
          <w:u w:val="single"/>
        </w:rPr>
        <w:t>Man</w:t>
      </w:r>
      <w:r>
        <w:rPr/>
        <w:t>”) (the “</w:t>
      </w:r>
      <w:r>
        <w:rPr>
          <w:u w:val="single"/>
        </w:rPr>
        <w:t>Customer Agreement</w:t>
      </w:r>
      <w:r>
        <w:rPr/>
        <w:t>”)</w:t>
      </w:r>
    </w:p>
    <w:p>
      <w:pPr>
        <w:pStyle w:val="BodyTextIndent"/>
        <w:rPr/>
      </w:pPr>
      <w:r>
        <w:rPr/>
      </w:r>
    </w:p>
    <w:p>
      <w:pPr>
        <w:pStyle w:val="Normal"/>
        <w:jc w:val="both"/>
        <w:rPr>
          <w:sz w:val="24"/>
        </w:rPr>
      </w:pPr>
      <w:r>
        <w:rPr>
          <w:sz w:val="24"/>
        </w:rPr>
        <w:t>Dear Mr. Polk:</w:t>
      </w:r>
    </w:p>
    <w:p>
      <w:pPr>
        <w:pStyle w:val="Normal"/>
        <w:jc w:val="both"/>
        <w:rPr>
          <w:sz w:val="24"/>
        </w:rPr>
      </w:pPr>
      <w:r>
        <w:rPr>
          <w:sz w:val="24"/>
        </w:rPr>
      </w:r>
    </w:p>
    <w:p>
      <w:pPr>
        <w:pStyle w:val="Normal"/>
        <w:jc w:val="both"/>
        <w:rPr>
          <w:sz w:val="24"/>
        </w:rPr>
      </w:pPr>
      <w:r>
        <w:rPr>
          <w:sz w:val="24"/>
        </w:rPr>
        <w:tab/>
        <w:t>On October 30, 2001, ENA received notice from Man that effective October 31, 2001, margin calculations for ENA accounts would be determined on a risk-weighted basis rather than NYMEX based SPAN requirements.</w:t>
      </w:r>
    </w:p>
    <w:p>
      <w:pPr>
        <w:pStyle w:val="Normal"/>
        <w:jc w:val="both"/>
        <w:rPr>
          <w:sz w:val="24"/>
        </w:rPr>
      </w:pPr>
      <w:r>
        <w:rPr>
          <w:sz w:val="24"/>
        </w:rPr>
      </w:r>
    </w:p>
    <w:p>
      <w:pPr>
        <w:pStyle w:val="BodyText"/>
        <w:tabs>
          <w:tab w:val="left" w:pos="720" w:leader="none"/>
          <w:tab w:val="left" w:pos="1260" w:leader="none"/>
        </w:tabs>
        <w:spacing w:before="0" w:after="240"/>
        <w:rPr/>
      </w:pPr>
      <w:r>
        <w:rPr/>
        <w:tab/>
        <w:t>Please refer to Paragraph 6(a) of the Customer Agreement which provides that margin requirements established by Man for ENA’s account may not exceed the margin required of Man by an Exchange.  Further, additional margin calls shall also be made in accordance with the terms of the Customer Agreement.  Since NYMEX rules provide that Member Firms must collect margin on open positions using the SPAN formula, ENA will continue to post margin based upon the SPAN calculations.  The Customer Agreement may not be amended except by written agreement executed by the parties.</w:t>
      </w:r>
    </w:p>
    <w:p>
      <w:pPr>
        <w:pStyle w:val="BodyText"/>
        <w:tabs>
          <w:tab w:val="left" w:pos="720" w:leader="none"/>
          <w:tab w:val="left" w:pos="1260" w:leader="none"/>
        </w:tabs>
        <w:spacing w:before="0" w:after="240"/>
        <w:rPr/>
      </w:pPr>
      <w:r>
        <w:rPr/>
        <w:tab/>
        <w:t xml:space="preserve">ENA hereby demands that you immediately return margin in excess of the SPAN calculation held by you in violation of the Customer Agreement. </w:t>
      </w:r>
    </w:p>
    <w:p>
      <w:pPr>
        <w:pStyle w:val="BodyText"/>
        <w:tabs>
          <w:tab w:val="left" w:pos="720" w:leader="none"/>
          <w:tab w:val="left" w:pos="1260" w:leader="none"/>
        </w:tabs>
        <w:rPr/>
      </w:pPr>
      <w:r>
        <w:rPr/>
        <w:tab/>
        <w:t>If you have any questions about the matters set forth herein, please contact me at (713) 853-7117.</w:t>
      </w:r>
    </w:p>
    <w:p>
      <w:pPr>
        <w:pStyle w:val="BodyText"/>
        <w:tabs>
          <w:tab w:val="left" w:pos="720" w:leader="none"/>
          <w:tab w:val="left" w:pos="1260" w:leader="none"/>
        </w:tabs>
        <w:rPr>
          <w:sz w:val="20"/>
        </w:rPr>
      </w:pPr>
      <w:r>
        <w:rPr>
          <w:sz w:val="20"/>
        </w:rPr>
      </w:r>
    </w:p>
    <w:p>
      <w:pPr>
        <w:pStyle w:val="Normal"/>
        <w:ind w:firstLine="4320" w:end="0"/>
        <w:rPr>
          <w:sz w:val="24"/>
        </w:rPr>
      </w:pPr>
      <w:r>
        <w:rPr>
          <w:sz w:val="24"/>
        </w:rPr>
        <w:t>Very truly yours,</w:t>
      </w:r>
    </w:p>
    <w:p>
      <w:pPr>
        <w:pStyle w:val="Normal"/>
        <w:ind w:firstLine="4320" w:end="0"/>
        <w:rPr>
          <w:sz w:val="24"/>
        </w:rPr>
      </w:pPr>
      <w:r>
        <w:rPr>
          <w:sz w:val="24"/>
        </w:rPr>
      </w:r>
    </w:p>
    <w:p>
      <w:pPr>
        <w:pStyle w:val="Normal"/>
        <w:ind w:firstLine="4320" w:end="0"/>
        <w:rPr>
          <w:sz w:val="24"/>
        </w:rPr>
      </w:pPr>
      <w:r>
        <w:rPr>
          <w:sz w:val="24"/>
        </w:rPr>
      </w:r>
    </w:p>
    <w:p>
      <w:pPr>
        <w:pStyle w:val="Normal"/>
        <w:ind w:firstLine="4320" w:end="0"/>
        <w:rPr>
          <w:sz w:val="24"/>
        </w:rPr>
      </w:pPr>
      <w:r>
        <w:rPr>
          <w:sz w:val="24"/>
        </w:rPr>
        <w:t>Joseph M. Deffner</w:t>
      </w:r>
    </w:p>
    <w:p>
      <w:pPr>
        <w:pStyle w:val="Normal"/>
        <w:ind w:firstLine="4320" w:end="0"/>
        <w:rPr>
          <w:sz w:val="24"/>
        </w:rPr>
      </w:pPr>
      <w:r>
        <w:rPr>
          <w:sz w:val="24"/>
        </w:rPr>
        <w:t>Managing Director and Chief Financial Officer</w:t>
      </w:r>
    </w:p>
    <w:p>
      <w:pPr>
        <w:pStyle w:val="Normal"/>
        <w:ind w:firstLine="4320" w:end="0"/>
        <w:rPr>
          <w:sz w:val="24"/>
        </w:rPr>
      </w:pPr>
      <w:r>
        <w:rPr>
          <w:sz w:val="24"/>
        </w:rPr>
      </w:r>
    </w:p>
    <w:p>
      <w:pPr>
        <w:pStyle w:val="Normal"/>
        <w:rPr>
          <w:sz w:val="24"/>
        </w:rPr>
      </w:pPr>
      <w:r>
        <w:rPr>
          <w:sz w:val="24"/>
        </w:rPr>
        <w:t>cc:  Louise Kitchen</w:t>
      </w:r>
    </w:p>
    <w:sectPr>
      <w:footerReference w:type="default" r:id="rId2"/>
      <w:footerReference w:type="first" r:id="rId3"/>
      <w:type w:val="nextPage"/>
      <w:pgSz w:w="12240" w:h="15840"/>
      <w:pgMar w:left="1440" w:right="1440" w:gutter="0" w:header="0" w:top="144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/mnt/main-storage/datasets/enron-docs/doc/ED_FManresponse.doc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4"/>
      <w:u w:val="single"/>
    </w:rPr>
  </w:style>
  <w:style w:type="paragraph" w:styleId="Heading2">
    <w:name w:val="heading 2"/>
    <w:basedOn w:val="Normal"/>
    <w:next w:val="Normal"/>
    <w:qFormat/>
    <w:pPr>
      <w:keepNext w:val="true"/>
      <w:numPr>
        <w:ilvl w:val="1"/>
        <w:numId w:val="1"/>
      </w:numPr>
      <w:jc w:val="both"/>
      <w:outlineLvl w:val="1"/>
    </w:pPr>
    <w:rPr>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left" w:pos="720" w:leader="none"/>
        <w:tab w:val="left" w:pos="1260" w:leader="none"/>
      </w:tabs>
      <w:ind w:hanging="1260" w:start="126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2001-10-31T17:15:00Z</dcterms:created>
  <dc:creator>kaye ellis</dc:creator>
  <dc:description/>
  <dc:language>en-CA</dc:language>
  <cp:lastModifiedBy>jrozycki</cp:lastModifiedBy>
  <cp:lastPrinted>2001-11-02T11:05:00Z</cp:lastPrinted>
  <dcterms:modified xsi:type="dcterms:W3CDTF">2001-11-02T14:36:00Z</dcterms:modified>
  <cp:revision>12</cp:revision>
  <dc:subject/>
  <dc:title>November 1, 1999</dc:title>
</cp:coreProperties>
</file>