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start"/>
        <w:rPr/>
      </w:pPr>
      <w:r>
        <w:rPr>
          <w:rFonts w:eastAsia="Geneva" w:cs="Geneva" w:ascii="Geneva" w:hAnsi="Geneva"/>
          <w:color w:val="000000"/>
          <w:sz w:val="24"/>
          <w:szCs w:val="24"/>
        </w:rPr>
        <w:t>{\rtf1\ansi\ansicpg1252\uc1 \deff0\deflang1033\deflangfe1033{\fonttbl{\f0\froman\fcharset0\fprq2{\*\panose 02020603050405020304}Times New Roman;}{\f1\fswiss\fcharset0\fprq2{\*\panose 020b0604020202020204}Arial;}{\f2\fmodern\fcharset0\fprq1{\*\panose 02070309020205020404}Courier New;}{\f4\froman\fcharset0\fprq2{\*\panose 02020603050405020304}Times;}{\f66\fnil\fcharset0\fprq2{\*\panose 00000800000000000000}Charter BT;}{\f73\froman\fcharset238\fprq2 Times New Roman CE;}{\f74\froman\fcharset204\fprq2 Times New Roman Cyr;}{\f76\froman\fcharset161\fprq2 Times New Roman Greek;}{\f77\froman\fcharset162\fprq2 Times New Roman Tur;}{\f78\froman\fcharset186\fprq2 Times New Roman Baltic;}{\f79\fswiss\fcharset238\fprq2 Arial CE;}{\f80\fswiss\fcharset204\fprq2 Arial Cyr;}{\f82\fswiss\fcharset161\fprq2 Arial Greek;}{\f83\fswiss\fcharset162\fprq2 Arial Tur;}{\f84\fswiss\fcharset186\fprq2 Arial Baltic;}{\f85\fmodern\fcharset238\fprq1 Courier New CE;}{\f86\fmodern\fcharset204\fprq1 Courier New Cyr;}{\f88\fmodern\fcharset161\fprq1 Courier New Greek;}{\f89\fmodern\fcharset162\fprq1 Courier New Tur;}{\f90\fmodern\fcharset186\fprq1 Courier New Baltic;}}{\colortbl;\red0\green0\blue0;\red0\green0\blue255;\red0\green255\blue255;\red0\green255\blue0;\red255\green0\blue255;\red255\green0\blue0;\red255\green255\blue0;\red255\green255\blue255;\red0\green0\blue128;\red0\green128\blue128;\red0\green128\blue0;\red128\green0\blue128;\red128\green0\blue0;\red128\green128\blue0;\red128\green128\blue128;\red192\green192\blue192;}{\stylesheet{\sa280\sl280\slmult0\nowidctlpar\tx709\tx1418\tx2126\tx2835\tx3544\tx4253\tx4961\tx5670\tqr\tx8363\adjustright \f66\fs20\lang2057\kerning16\cgrid \snext0 Normal;}{\s1\fi-708\li709\sa280\sl280\slmult0\keepn\nowidctlpar\tx709\tx1418\tx2126\tx2835\tx3544\tx4253\tx4961\tx5670\tqr\tx8363\adjustright \b\f66\fs20\lang2057\kerning16\cgrid \sbasedon0 \snext0 heading 1;}{\s2\fi-709\li709\sa280\sl280\slmult0\nowidctlpar\tx709\tx1418\tx2126\tx2835\tx3544\tx4253\tx4961\tx5670\tqr\tx8363\adjustright \b\f66\fs20\lang2057\kerning16\cgrid \sbasedon0 \snext0 heading 2;}{\s3\fi-709\li1418\sa280\sl280\slmult0\nowidctlpar\tx1418\tx2126\tx2835\tx3544\tx4253\tx4961\tx5670\tqr\tx8363\adjustright \f66\fs20\lang2057\kerning16\cgrid \sbasedon0 \snext0 heading 3;}{\s4\fi-708\li2126\sa280\sl280\slmult0\nowidctlpar\tx1418\tx2138\tx2835\tx3544\tx4253\tx4961\tx5670\tqr\tx8363\adjustright \f66\fs20\lang2057\kerning16\cgrid \sbasedon0 \snext0 heading 4;}{\s5\fi-709\li2835\sa280\sl280\slmult0\nowidctlpar\tx1418\tx2126\tx2835\tx3544\tx4253\tx4961\tx5670\tqr\tx8363\adjustright \f66\fs20\lang2057\kerning16\cgrid \sbasedon0 \snext0 heading 5;}{\s6\fi-709\li3544\sa280\sl280\slmult0\nowidctlpar\tx1418\tx2126\tx2835\tx3544\tx4253\tx4961\tx5670\tqr\tx8363\adjustright \f66\fs20\lang2057\kerning16\cgrid \sbasedon0 \snext0 heading 6;}{\s7\fi-709\li4253\sa280\sl280\slmult0\nowidctlpar\tx1418\tx2126\tx2835\tx3544\tx4253\tx4961\tx5670\tqr\tx8363\adjustright \f66\fs20\lang2057\kerning16\cgrid \sbasedon0 \snext0 heading 7;}{\s8\fi-708\li4961\sa280\sl280\slmult0\nowidctlpar\tx1418\tx2126\tx2835\tx3544\tx4253\tx4961\tx5670\tqr\tx8363\adjustright \f66\fs20\lang2057\kerning16\cgrid \sbasedon0 \snext0 heading 8;}{\s9\fi-709\li5670\sa280\sl280\slmult0\nowidctlpar\tx1418\tx2126\tx2835\tx3544\tx4253\tx4961\tx5681\tqr\tx8363\adjustright \f66\fs20\lang2057\kerning16\cgrid \sbasedon0 \snext0 heading 9;}{\*\cs10 \additive Default Paragraph Font;}{\s15\sa280\sl280\slmult0\nowidctlpar\tx709\tx1418\tx2126\tx2835\tx3544\tx4253\tx4961\tx5670\tqr\tx8363\adjustright \f66\fs20\lang2057\kerning16\cgrid \sbasedon0 \snext15 FrontSheet;}{\s16\sa280\sl280\slmult0\keepn\nowidctlpar\tx709\tx1418\tx2126\tx2835\tx3544\tx4253\tx4961\tx5670\tqr\tx8363\adjustright \b\f66\fs20\lang2057\kerning16\cgrid \sbasedon0 \snext0 caption;}{\s17\sa280\sl280\slmult0\nowidctlpar\tx1418\tx2126\tx2835\tx3544\tqc\tx4253\tx4961\tx5670\tqr\tx8363\adjustright \f66\fs20\lang2057\kerning16\cgrid \sbasedon0 \snext17 header;}{\s18\qc\sa280\sl280\slmult0\nowidctlpar\tx1418\tx2126\tx2835\tx3544\tqc\tx4253\tx4961\tx5670\tqr\tx8306\adjustright \f66\fs12\lang2057\kerning16\cgrid \sbasedon0 \snext18 footer;}{\*\cs19 \additive \fs20\kerning16 \sbasedon10 page number;}{\*\cs20 \additive \i\fs16\up6\kerning16 \sbasedon10 annotation reference;}{\s21\sa120\sl280\slmult0\nowidctlpar\tx709\tx1418\tx2126\tx2835\tx3544\tx4253\tx4961\tx5670\tqr\tx8363\adjustright \f66\fs20\lang2057\kerning16\cgrid \sbasedon0 \snext21 Body Text;}{\s22\li283\sa120\sl280\slmult0\nowidctlpar\tx709\tx1418\tx2126\tx2835\tx3544\tx4253\tx4961\tx5670\tqr\tx8363\adjustright \f66\fs20\lang2057\kerning16\cgrid \sbasedon0 \snext22 Body Text 2;}{\s23\li2880\sa280\sl280\slmult0\nowidctlpar\tx709\tx1418\tx2126\tx2835\tx3544\tx4253\tx4961\tx5670\tqr\tx8363\phpg\posxc\posyb\absh-1980\absw7920\dxfrtext180\dfrmtxtx180\dfrmtxty0\adjustright \f66\lang2057\kerning16\cgrid \sbasedon0 \snext23 envelope address;}{\s24\li4252\sa280\sl280\slmult0\nowidctlpar\tx709\tx1418\tx2126\tx2835\tx3544\tx4253\tx4961\tx5670\tqr\tx8363\adjustright \f66\fs20\lang2057\kerning16\cgrid \sbasedon0 \snext24 Closing;}{\s25\sa280\sl280\slmult0\nowidctlpar\tx709\tx1418\tx2126\tx2835\tx3544\tx4253\tx4961\tx5670\tqr\tx8363\adjustright \f66\fs20\lang2057\kerning16\cgrid \sbasedon0 \snext25 envelope return;}{\*\cs26 \additive \b\fs14\up6\kerning16 \sbasedon10 endnote reference;}{\s27\fi-170\li170\sa200\sl220\slmult0\nowidctlpar\tx709\tx1418\tx2126\tx2835\tx3544\tx4253\tx4961\tx5670\tqr\tx8363\adjustright \f66\fs16\lang2057\kerning16\cgrid \sbasedon0 \snext27 endnote text;}{\s28\fi-284\li284\sa120\sl280\slmult0\nowidctlpar\tqr\tldot\tx8363\adjustright \f66\fs20\lang2057\kerning16\cgrid \sbasedon0 \snext0 index 1;}{\s29\fi-284\li993\sa120\sl280\slmult0\nowidctlpar\tqr\tldot\tx8363\adjustright \f66\fs20\lang2057\kerning16\cgrid \sbasedon0 \snext0 index 2;}{\s30\fi-200\li600\sa280\sl280\slmult0\nowidctlpar\tqr\tldot\tx8505\adjustright \f66\fs20\lang2057\kerning16\cgrid \sbasedon0 \snext0 index 3;}{\s31\fi-200\li800\sa280\sl280\slmult0\nowidctlpar\tqr\tldot\tx8505\adjustright \f66\fs20\lang2057\kerning16\cgrid \sbasedon0 \snext0 index 4;}{\s32\fi-200\li1000\sa280\sl280\slmult0\nowidctlpar\tqr\tldot\tx8505\adjustright \f66\fs20\lang2057\kerning16\cgrid \sbasedon0 \snext0 index 5;}{\s33\fi-200\li1200\sa280\sl280\slmult0\nowidctlpar\tqr\tldot\tx8505\adjustright \f66\fs20\lang2057\kerning16\cgrid \sbasedon0 \snext0 index 6;}{\s34\fi-709\li4253\sa280\sl280\slmult0\nowidctlpar\tqr\tldot\tx8505\adjustright \f66\fs20\lang2057\kerning16\cgrid \sbasedon0 \snext0 index 7;}{\s35\fi-200\li1600\sa280\sl280\slmult0\nowidctlpar\tqr\tldot\tx8505\adjustright \f66\fs20\lang2057\kerning16\cgrid \sbasedon0 \snext0 index 8;}{\s36\fi-200\li1800\sa280\sl280\slmult0\nowidctlpar\tqr\tldot\tx8505\adjustright \f66\fs20\lang2057\kerning16\cgrid \sbasedon0 \snext0 index 9;}{\s37\sa280\sl280\slmult0\nowidctlpar\tx709\tx1418\tx2126\tx2835\tx3544\tx4253\tx4961\tx5670\tqr\tx8363\adjustright \f66\fs20\lang2057\kerning16\cgrid \sbasedon0 \snext28 index heading;}{\*\cs38 \additive \fs20\kerning16 \sbasedon10 line number;}{\s39\fi-283\li283\sa280\sl280\slmult0\nowidctlpar\tx709\tx1418\tx2126\tx2835\tx3544\tx4253\tx4961\tx5670\tqr\tx8363\adjustright \f66\fs20\lang2057\kerning16\cgrid \sbasedon0 \snext39 List;}{\s40\fi-283\li566\sa280\sl280\slmult0\nowidctlpar\tx709\tx1418\tx2126\tx2835\tx3544\tx4253\tx4961\tx5670\tqr\tx8363\adjustright \f66\fs20\lang2057\kerning16\cgrid \sbasedon0 \snext40 List 2;}{\s41\fi-283\li849\sa280\sl280\slmult0\nowidctlpar\tx709\tx1418\tx2126\tx2835\tx3544\tx4253\tx4961\tx5670\tqr\tx8363\adjustright \f66\fs20\lang2057\kerning16\cgrid \sbasedon0 \snext41 List 3;}{\s42\fi-283\li1132\sa280\sl280\slmult0\nowidctlpar\tx709\tx1418\tx2126\tx2835\tx3544\tx4253\tx4961\tx5670\tqr\tx8363\adjustright \f66\fs20\lang2057\kerning16\cgrid \sbasedon0 \snext42 List 4;}{\s43\fi-283\li1415\sa280\sl280\slmult0\nowidctlpar\tx709\tx1418\tx2126\tx2835\tx3544\tx4253\tx4961\tx5670\tqr\tx8363\adjustright \f66\fs20\lang2057\kerning16\cgrid \sbasedon0 \snext43 List 5;}{\s44\li283\sa120\sl280\slmult0\nowidctlpar\tx709\tx1418\tx2126\tx2835\tx3544\tx4253\tx4961\tx5670\tqr\tx8363\adjustright \f66\fs20\lang2057\kerning16\cgrid \sbasedon0 \snext44 List Continue;}{\s45\li566\sa120\sl280\slmult0\nowidctlpar\tx709\tx1418\tx2126\tx2835\tx3544\tx4253\tx4961\tx5670\tqr\tx8363\adjustright \f66\fs20\lang2057\kerning16\cgrid \sbasedon0 \snext45 List Continue 2;}{\s46\li849\sa120\sl280\slmult0\nowidctlpar\tx709\tx1418\tx2126\tx2835\tx3544\tx4253\tx4961\tx5670\tqr\tx8363\adjustright \f66\fs20\lang2057\kerning16\cgrid \sbasedon0 \snext46 List Continue 3;}{\s47\li1132\sa120\sl280\slmult0\nowidctlpar\tx709\tx1418\tx2126\tx2835\tx3544\tx4253\tx4961\tx5670\tqr\tx8363\adjustright \f66\fs20\lang2057\kerning16\cgrid \sbasedon0 \snext47 List Continue 4;}{\s48\li1415\sa120\sl280\slmult0\nowidctlpar\tx709\tx1418\tx2126\tx2835\tx3544\tx4253\tx4961\tx5670\tqr\tx8363\adjustright \f66\fs20\lang2057\kerning16\cgrid \sbasedon0 \snext48 List Continue 5;}{\s49\fi-283\li283\sa280\sl280\slmult0\nowidctlpar\tx709\tx1418\tx2126\tx2835\tx3544\tx4253\tx4961\tx5670\tqr\tx8363{\*\pn \pnlvlbody\ilvl11\ls2047\pnrnot0\pndec\pnstart1\pnindent283\pnhang{\pntxta .}}\ls2047\ilvl11\adjustright \f66\fs20\lang2057\kerning16\cgrid \sbasedon0 \snext49 List Number;}{\s50\fi-283\li566\sa280\sl280\slmult0\nowidctlpar\tx709\tx1418\tx2126\tx2835\tx3544\tx4253\tx4961\tx5670\tqr\tx8363{\*\pn \pnlvlbody\ilvl11\ls2047\pnrnot0\pndec\pnstart1\pnindent283\pnhang{\pntxta .}}\ls2047\ilvl11\adjustright \f66\fs20\lang2057\kerning16\cgrid \sbasedon0 \snext50 List Number 2;}{\s51\fi-283\li849\sa280\sl280\slmult0\nowidctlpar\tx709\tx1418\tx2126\tx2835\tx3544\tx4253\tx4961\tx5670\tqr\tx8363{\*\pn \pnlvlbody\ilvl11\ls2047\pnrnot0\pndec\pnstart1\pnindent283\pnhang{\pntxta .}}\ls2047\ilvl11\adjustright \f66\fs20\lang2057\kerning16\cgrid \sbasedon0 \snext51 List Number 3;}{\s52\fi-283\li1132\sa280\sl280\slmult0\nowidctlpar\tx709\tx1418\tx2126\tx2835\tx3544\tx4253\tx4961\tx5670\tqr\tx8363{\*\pn \pnlvlbody\ilvl11\ls2047\pnrnot0\pndec\pnstart1\pnindent283\pnhang{\pntxta .}}\ls2047\ilvl11\adjustright \f66\fs20\lang2057\kerning16\cgrid \sbasedon0 \snext52 List Number 4;}{\s53\fi-283\li1415\sa280\sl280\slmult0\nowidctlpar\tx709\tx1418\tx2126\tx2835\tx3544\tx4253\tx4961\tx5670\tqr\tx8363{\*\pn \pnlvlbody\ilvl11\ls2047\pnrnot0\pndec\pnstart1\pnindent283\pnhang{\pntxta .}}\ls2047\ilvl11\adjustright \f66\fs20\lang2057\kerning16\cgrid \sbasedon0 \snext53 List Number 5;}{\s54\fi-1134\li1134\sa280\sl280\slmult0\nowidctlpar\tx709\tx1418\tx2126\tx2835\tx3544\tx4253\tx4961\tx5670\tqr\tx8363\adjustright \f1\lang2057\kerning16\cgrid \sbasedon0 \snext54 Message Header;}{\s55\li4252\sa280\sl280\slmult0\nowidctlpar\tx709\tx1418\tx2126\tx2835\tx3544\tx4253\tx4961\tx5670\tqr\tx8363\adjustright \f66\fs20\lang2057\kerning16\cgrid \sbasedon0 \snext55 Signature;}{\s56\qc\sa60\sl280\slmult0\nowidctlpar\tx709\tx1418\tx2126\tx2835\tx3544\tx4253\tx4961\tx5670\tqr\tx8363\adjustright \i\f1\lang2057\kerning16\cgrid \sbasedon0 \snext56 Subtitle;}{\s57\qc\sb240\sa60\sl280\slmult0\nowidctlpar\tx709\tx1418\tx2126\tx2835\tx3544\tx4253\tx4961\tx5670\tqr\tx8363\adjustright \b\f1\fs32\lang2057\kerning16\cgrid \sbasedon0 \snext57 Title;}{\s58\sb120\sa280\sl280\slmult0\nowidctlpar\tx709\tx1418\tx2126\tx2835\tx3544\tx4253\tx4961\tx5670\tqr\tx8363\adjustright \b\f1\lang2057\kerning16\cgrid \sbasedon0 \snext0 toa heading;}{\s59\sa280\sl280\slmult0\nowidctlpar\tx709\tqr\tx8363\adjustright \f66\fs20\lang2057\kerning16\cgrid \sbasedon0 \snext0 toc 1;}{\s60\li709\sa280\sl280\slmult0\nowidctlpar\tx1418\tqr\tx8363\adjustright \f66\fs20\lang2057\kerning16\cgrid \sbasedon0 \snext0 toc 2;}{\s61\li709\sa280\sl280\slmult0\nowidctlpar\tx1418\tqr\tx8363\adjustright \f66\fs20\lang2057\kerning16\cgrid \sbasedon0 \snext0 toc 3;}{\s62\li600\sa280\sl280\slmult0\nowidctlpar\tqr\tldot\tx8505\adjustright \f66\fs20\lang2057\kerning16\cgrid \sbasedon0 \snext0 toc 4;}{\s63\li800\sa280\sl280\slmult0\nowidctlpar\tqr\tldot\tx8505\adjustright \f66\fs20\lang2057\kerning16\cgrid \sbasedon0 \snext0 toc 5;}{\s64\li1000\sa280\sl280\slmult0\nowidctlpar\tqr\tldot\tx8505\adjustright \f66\fs20\lang2057\kerning16\cgrid \sbasedon0 \snext0 toc 6;}{\s65\li1200\sa280\sl280\slmult0\nowidctlpar\tqr\tldot\tx8505\adjustright \f66\fs20\lang2057\kerning16\cgrid \sbasedon0 \snext0 toc 7;}{\s66\li1400\sa280\sl280\slmult0\nowidctlpar\tqr\tldot\tx8505\adjustright \f66\fs20\lang2057\kerning16\cgrid \sbasedon0 \snext0 toc 8;}{\s67\li1600\sa280\sl280\slmult0\nowidctlpar\tqr\tldot\tx8505\adjustright \f66\fs20\lang2057\kerning16\cgrid \sbasedon0 \snext0 toc 9;}{\s68\li4253\sa280\sl280\slmult0\nowidctlpar\tx709\tx1418\tx2126\tx2835\tx3544\tx4253\tx4961\tx5670\tqr\tx8363\adjustright \f66\fs20\lang2057\cgrid \sbasedon0 \snext68 BackSheet;}{\*\cs69 \additive \b\fs14\up6\kerning16 \sbasedon10 footnote reference;}{\s70\fi-170\li170\sa200\sl220\slmult0\nowidctlpar\tx709\tx1418\tx2126\tx2835\tx3544\tx4253\tx4961\tx5670\tqr\tx8363\adjustright \f66\fs16\lang2057\kerning16\cgrid \sbasedon0 \snext70 footnote text;}{\s71\sa280\sl280\slmult0\keep\keepn\nowidctlpar\tx709\tx1418\tx2126\tx2835\tx3544\tx4253\tx4961\tx5670\tqr\tx8363\adjustright \f66\fs20\lang2057\kerning16\cgrid \sbasedon0 \snext0 Heading;}{\s72\fi-567\li1418\sa280\sl280\slmult0\nowidctlpar\tx709\tx1418\tx1985\tx2126\tx2552\tx2835\tx3544\tx4253\tx4961\tx5670\tqr\tx8363\adjustright \f66\fs20\lang2057\kerning16\cgrid \sbasedon0 \snext72 Indent1;}{\s73\li1418\sa280\sl280\slmult0\nowidctlpar\tx709\tx1418\tx1985\tx2126\tx2552\tx2835\tx3544\tx4253\tx4961\tx5670\tqr\tx8363\adjustright \f66\fs20\lang2057\kerning16\cgrid \sbasedon0 \snext73 indent2;}{\s74\fi-283\li283\sa280\sl280\slmult0\nowidctlpar\tx709\tx1418\tx2126\tx2835\tx3544\tx4253\tx4961\tx5670\tqr\tx8363{\*\pn \pnlvlbody\ilvl11\ls2047\pnrnot0\pnf4\pnstart1\pnindent283\pnhang{\pntxtb \'b7}}\ls2047\ilvl11\adjustright \f66\fs20\lang2057\kerning16\cgrid \sbasedon0 \snext74 List Bullet;}{\s75\fi-283\li566\sa280\sl280\slmult0\nowidctlpar\tx709\tx1418\tx2126\tx2835\tx3544\tx4253\tx4961\tx5670\tqr\tx8363{\*\pn \pnlvlbody\ilvl11\ls2047\pnrnot0\pnf4\pnstart1\pnindent283\pnhang{\pntxtb \'b7}}\ls2047\ilvl11\adjustright \f66\fs20\lang2057\kerning16\cgrid \sbasedon0 \snext75 List Bullet 2;}{\s76\fi-283\li849\sa280\sl280\slmult0\nowidctlpar\tx709\tx1418\tx2126\tx2835\tx3544\tx4253\tx4961\tx5670\tqr\tx8363{\*\pn \pnlvlbody\ilvl11\ls2047\pnrnot0\pnf4\pnstart1\pnindent283\pnhang{\pntxtb \'b7}}\ls2047\ilvl11\adjustright \f66\fs20\lang2057\kerning16\cgrid \sbasedon0 \snext76 List Bullet 3;}{\s77\fi-283\li1132\sa280\sl280\slmult0\nowidctlpar\tx709\tx1418\tx2126\tx2835\tx3544\tx4253\tx4961\tx5670\tqr\tx8363{\*\pn \pnlvlbody\ilvl11\ls2047\pnrnot0\pnf4\pnstart1\pnindent283\pnhang{\pntxtb \'b7}}\ls2047\ilvl11\adjustright \f66\fs20\lang2057\kerning16\cgrid \sbasedon0 \snext77 List Bullet 4;}{\s78\fi-283\li1415\sa280\sl280\slmult0\nowidctlpar\tx709\tx1418\tx2126\tx2835\tx3544\tx4253\tx4961\tx5670\tqr\tx8363{\*\pn \pnlvlbody\ilvl11\ls2047\pnrnot0\pnf4\pnstart1\pnindent283\pnhang{\pntxtb \'b7}}\ls2047\ilvl11\adjustright \f66\fs20\lang2057\kerning16\cgrid \sbasedon0 \snext78 List Bullet 5;}{\s79\sl160\slmult0\nowidctlpar\tx480\tx960\tx1440\tx1920\tx2400\tx2880\tx3360\tx3840\tx4320\adjustright \f2\fs16\lang2057\cgrid \snext79 macro;}{\s80\li851\sa280\sl280\slmult0\nowidctlpar\tx709\tx1418\tx1985\tx2126\tx2552\tx2835\tx3544\tx4253\tx4961\tx5670\tqr\tx8363\adjustright \f66\fs20\lang2057\kerning16\cgrid \sbasedon0 \snext80 Normal Indent;}{\s81\li1418\sa280\sl240\slmult0\nowidctlpar\tx709\tx1418\tx2126\tx2835\tx3544\tx4253\tx4961\tx5670\tqr\tx8363\adjustright \f66\fs20\lang2057\kerning16\cgrid \sbasedon0 \snext0 Quote;}{\s82\sa280\sl280\slmult0\nowidctlpar\tx709\tqr\tx8363\adjustright \f66\fs20\lang2057\kerning16\cgrid \sbasedon0 \snext0 table of authorities;}{\s83\sa280\sl280\slmult0\nowidctlpar\tx709\tqr\tx8363\adjustright \f66\fs20\lang2057\kerning16\cgrid \sbasedon0 \snext0 table of figures;}{\s84\qc\sa280\sl280\slmult0\nowidctlpar\tx709\tx1418\tx2126\tx2835\tx3544\tx4253\tx4961\tx5670\tqr\tx8363\adjustright \b\f66\fs20\lang2057\kerning16\cgrid \sbasedon0 \snext84 TitleTOC;}{\s85\fi-170\li170\sa200\sl220\slmult0\nowidctlpar\tx709\tx1418\tx2126\tx2835\tx3544\tx4253\tx4961\tx5670\tqr\tx8363\adjustright \f66\fs16\lang2057\kerning16\cgrid \sbasedon0 \snext85 annotation text;}{\s86\fi-709\li709\sa280\sl280\slmult0\widctlpar\tx709\tx1418\tx2126\tx2835\tx3544\tx4253\tx4961\tx5670\tqr\tx8363\adjustright \f66\fs20\lang2057\kerning16\cgrid \sbasedon0 \snext86 Body Text 2;}{\s87\qj\li720\sa280\sl280\slmult0\widctlpar\tx709\tx1418\tx2126\tx2835\tx3544\tx4253\tx4961\tx5670\tqr\tx8363\adjustright \f66\fs20\lang2057\kerning16\cgrid \sbasedon0 \snext87 Body Text Indent 2;}{\s88\qj\li709\sa280\sl280\slmult0\widctlpar\tx709\tx1418\tx2126\tx2835\tx3544\tx4253\tx4961\tx5670\tqr\tx8363\adjustright \f66\fs20\lang2057\kerning16\cgrid \sbasedon0 \snext88 Body Text Indent 3;}}{\*\revtbl {Unknown;}{ECooper;}}{\info{\title Document Layouts}{\author DCR?</w:t>
      </w:r>
      <w:r>
        <w:rPr>
          <w:rFonts w:eastAsia="Geneva" w:cs="Geneva" w:ascii="Geneva" w:hAnsi="Geneva"/>
          <w:color w:val="000000"/>
          <w:sz w:val="24"/>
          <w:szCs w:val="24"/>
        </w:rPr>
        <w:t xml:space="preserve">_????p_}{\operator ECooper}{\creatim\yr2000\mo2\dy15\hr14\min19}{\revtim\yr2000\mo2\dy15\hr16\min16}{\printim\yr2000\mo2\dy15\hr14\min22}{\version4}{\edmins27}{\nofpages18}{\nofwords6950}{\nofchars39620}{\*\manager David Allen}{\*\company Slaughter and May}{\*\category Atlas II template}{\nofcharsws48656}{\vern113}}{\*\userprops {\propname udp_BorderStyle}\proptype30{\staticval None}{\propname udp_Justified}\proptype11{\staticval 0}{\propname udp_Renumber}\proptype11{\staticval 0}{\propname udp_Class}\proptype30{\staticval SE}{\propname udp_Client}\proptype30{\staticval ENRON}{\propname udp_Matter}\proptype30{\staticval On-line Trading}{\propname udp_CMNumber}\proptype30{\staticval 214686/11161}{\propname udp_Layout}\proptype30{\staticval Slaughter and May 1}{\propname udp_DocID}\proptype30{\staticval CA003672721}{\propname udp_Typist}\proptype30{\staticval Dellow, Marilyn}{\propname udp_Author}\proptype30{\staticval GPXB}{\propname udp_Version}\proptype30{\staticval 16}{\propname udp_CatID}\proptype30{\staticval  }{\propname udp_Department}\proptype30{\staticval  }{\propname udp_IsAtlasDoc}\proptype11{\staticval 1}{\propname udp_TemplateVersion}\proptype30{\staticval 1.02.0001}}\paperw11907\paperh16840\margl1276\margr1275\margt1135\margb1418 \widowctrl\ftnbj\aenddoc\revisions\aftnnar\lytprtmet\hyphcaps0\formshade\viewkind1\viewscale117\viewzk2\pgbrdrhead\pgbrdrfoot \fet0{\*\ftnsep \pard\plain \sa280\sl280\slmult0\widctlpar\brdrb\brdrs\brdrw15\brsp20 \tx709\tx1418\tx2126\tx2835\tx3544\tx4253\tx4961\tx5670\tqr\tx8363\adjustright \f66\fs20\lang2057\kerning16\cgrid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}}{\*\ftnsepc \pard\plain \sa280\sl280\slmult0\widctlpar\tx709\tx1418\tx2126\tx2835\tx3544\tx4253\tx4961\tx5670\tqr\tx8363\adjustright \f66\fs20\lang2057\kerning16\cgrid {\chftnsepc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}}{\*\ftncn \pard\plain \sa280\sl280\slmult0\widctlpar\tx709\tx1418\tx2126\tx2835\tx3544\tx4253\tx4961\tx5670\tqr\tx8363\adjustright \f66\fs20\lang2057\kerning16\cgrid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}}\sectd \binfsxn11\binsxn11\linex0\endnhere\titlepg\sectdefaultcl {\header \pard\plain \s17\qc\sa280\sl280\slmult0\widctlpar\tx1418\tx2126\tx2835\tx3544\tqc\tx4253\tx4961\tx5670\tqr\tx8363\adjustright \f66\fs20\lang2057\kerning16\cgrid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}}{\footer \pard\plain \s18\qc\sa280\sl280\slmult0\widctlpar\tx1418\tx2126\tx2835\tx3544\tqc\tx4253\tx4961\tx5670\tqr\tx8306\adjustright \f66\fs12\lang2057\kerning16\cgrid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}}{\headerf \pard\plain \s17\sa280\sl280\slmult0\widctlpar\tx1418\tx2126\tx2835\tx3544\tqc\tx4253\tx4961\tx5670\tqr\tx8363\adjustright \f66\fs20\lang2057\kerning16\cgrid {\line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}}{\footerf \pard\plain \s18\qc\sa280\sl280\slmult0\widctlpar\tx1418\tx2126\tx2835\tx3544\tqc\tx4253\tx4961\tx5670\tqr\tx8306\adjustright \f66\fs12\lang2057\kerning16\cgrid {\field\fldlock{\*\fldinst {docproperty "udp_CMNumber"  \\* Mergeformat }}{\fldrslt {214686/11161}}}{  }{\field\fldlock{\*\fldinst {docproperty udp_DocID \\* Mergeformat }}{\fldrslt {CA003672721}}}{  }{\field\fldlock{\*\fldinst {docproperty "udp_Author"  \\* Mergeformat }}{\fldrslt {GPXB}}}{  }{\field\fldlock{\*\fldinst {date \\@ "ddMMyy:HHmm" \\* Mergeformat }}{\fldrslt {140200:2044}}}{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}}{\*\pnseclvl1\pnucrm\pnstart1\pnindent720\pnhang{\pntxta .}}{\*\pnseclvl2\pnucltr\pnstart1\pnindent720\pnhang{\pntxta .}}{\*\pnseclvl3\pndec\pnstart1\pnindent720\pnhang{\pntxta .}}{\*\pnseclvl4\pnlcltr\pnstart1\pnindent720\pnhang{\pntxta )}}{\*\pnseclvl5\pndec\pnstart1\pnindent720\pnhang{\pntxtb (}{\pntxta )}}{\*\pnseclvl6\pnlcltr\pnstart1\pnindent720\pnhang{\pntxtb (}{\pntxta )}}{\*\pnseclvl7\pnlcrm\pnstart1\pnindent720\pnhang{\pntxtb (}{\pntxta )}}{\*\pnseclvl8\pnlcltr\pnstart1\pnindent720\pnhang{\pntxtb (}{\pntxta )}}{\*\pnseclvl9\pnlcrm\pnstart1\pnindent720\pnhang{\pntxtb (}{\pntxta )}}\pard\plain \qc\sa280\sl280\slmult0\widctlpar\tx709\tx1418\tx2126\tx2835\tx3544\tx4253\tx4961\tx5670\tqr\tx8363\adjustright \f66\fs20\lang2057\kerning16\cgrid {\b ENRON NORTH AMERICA CORP (\ldblquote Enron\rdblquote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GENERAL TERMS AND CONDITIONS (\ldblquote GTC\rdblquote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CREDIT PRODUCT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{1.\tab Transactions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{The parties shall engage in transactions on this website for the purchase and sale of the Credit Product (\ldblquote Transactions\rdblquote ) pursuant to these terms and conditions.  Transactions will be initiated by you (\ldblquote Counterparty\rdblquote ) offering to buy or sell the Credit Product by clicking on the designated boxes on the website.  This website is not, and shall not be construed as, an offer to buy or sell the Credit Product by Enron.  Enron may accept or reject Counterparty\rquote s offer at its sole discretion.  A Transaction shall be deemed executed at the time that Enron first signifies its acceptance of Counterparty\rquote s offer, accessible on the Enron website server.  The parties may also complete a written confirmation by way of record of the terms of each Transaction but in the event of any conflict Enron\rquote 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Each party agrees that it shall not enter into a Transaction where it or any of its Affiliates is the Reference Entity which is the subject of the Transaction and any such purported Transaction entered into by the parties shall be deemed void and unenforceable.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{2.\tab Representations and Warranties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{Each of Enron and Counterparty represents and warrants to the other at the time each }{\deleted\revauthdel1\revdttmdel1178762255 t}{\revised\revauth1\revdttm1178762255 T}{ransaction is executed that (a)\~}{\ul Status and Capacity}{: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(b)\~}{\ul Authority}{: (i)\~the execution, delivery and performance of each Transaction has been duly authorised by all necessary corporate, governmental or other organisational action on its part; and (ii)\~each Transaction is its legally valid and binding obligation, enforceable against it in accordance with its terms; and (c)}{\ul Eligible Swap Participant}{: (i)\~it constitutes an \ldblquote eligible swap participant\rdblquote  as such term is defined in  Regulation 35.1(b)(2) of the United States Commodity Futures Trading Commission; and (ii)\~it is an \ldblquote accredited investor\rdblquote  as such term is defined in Rule 501 of Regulation D of the United States Securities and Exchange Commission; and (d)\~}{\ul Line of Business}{: (i)\~it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}{\deleted\revauthdel1\revdttmdel1178762240  }{options, it is a commercial user of, or merchant in, the commodity (i.e. credit risk) subject to each Transaction and it has entered into each Transaction solely for purposes related to its business as such; and (e)\~}{\ul No Reliance}{: (i) the other party to each Transaction (1) is not acting as a fiduciary or financial, investment or commodity trading advisor for it; and (2)\~has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(2)\~it is not relying upon any advice, counsel or representations (whether written or oral) of the other party other than the representations expressly set forth in this GTC or the ETA between the parties, or otherwise set out on this website; (3)\~it has made and will make its own assessment and decisions regarding the entering into of each Transaction based upon its own judgment and upon the advice from such professional advisors as it has deemed, or will deem, necessary to consult; (4)\~all of its decisions regarding each Transaction have been the result of arm\rquote s length negotiations between the parties; and (5) it has a full understanding of all the terms, conditions and risks (economic and otherwise) of each Transaction, and it is capable of assuming and willing to assume (financially, legally and otherwise) those risks.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\li709\sa280\sl280\slmult0\widctlpar\tx709\tx1418\tx2126\tx2835\tx3544\tx4253\tx4961\tx5670\tqr\tx8363\adjustright {Counterparty acknowledges, agrees and understands that: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\qj\fi-709\li1418\sa280\sl280\slmult0\widctlpar\tx709\tx1418\tx2126\tx2835\tx3544\tx4253\tx4961\tx5670\tqr\tx8363\adjustright {(A)\tab }{\deleted\revauthdel1\revdttmdel1178762240 ENRON\rquote S PARTICIPATION IN TRANSACTIONS MAY INVOLVE CERTAIN ACTUAL OR POTENTIAL CONFLICTS OF INTEREST.  }{ENRON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COUNTERPARTY\rquote 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TRANSACTIONS.}{\revised\revauth1\revdttm1178762240  ENRON\rquote S PARTICIPATION IN TRANSACTIONS MAY INVOLVE CERTAIN ACTUAL OR POTENTIAL CONFLICTS OF INTEREST.}{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\qj\fi-720\li1429\sa280\sl280\slmult0\widctlpar\tx709\tx1418\tx2126\tx2835\tx3544\tx4253\tx4961\tx5670\tqr\tx8363\adjustright {(B)\tab 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\qj\fi-709\li1418\sa280\sl280\slmult0\widctlpar\tx709\tx1418\tx2126\tx2835\tx3544\tx4253\tx4961\tx5670\tqr\tx8363\adjustright {(C)\tab 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ENRON\rquote S INTERNAL POLICIES AND PROCEDURES, DUE TO MARKET CONDITIONS OR FOR OTHER REASONS.  UNDER SUCH CIRCUMSTANCES, COUNTERPARTY MAY BE UNABLE TO ENTER INTO NEW TRANSACTIONS IN CREDIT PRODUCTS OR CLOSE OUT EXISTING POSITIONS IN CREDIT PRODUCTS.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(D)\tab 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{3.\tab Payments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If on or after the Effective Date and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Each payment will be made in the Contractual Currency (specified on this website or, if not specified, in U.S. Dollars) without deduction, set-off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{4.\tab Collateral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\s87\qj\li720\sa280\sl280\slmult0\widctlpar\tx709\tx1418\tx2126\tx2835\tx3544\tx4253\tx4961\tx5670\tqr\tx8363\adjustright \f66\fs20\lang2057\kerning16\cgrid Counterparty shall at Enron\rquote s request from time to time and at Enron\rquote s option either (a) within one Business Day of such request by Enron, provide to Enron a letter of credit in respect of Counterparty\rquote s obligations under any Transaction, in such form and for such amount and from such issuer as is acceptable to Enron in its absolute discretion; or (b) within such period as is specified by Enron, provide for the benefit of Enron a guarantee from a party in such form and for such amount as is acceptable to Enron in its absolute discretion.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{5.\tab Events of Default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\qj\li709\sa280\sl280\slmult0\widctlpar\tx720\tx1418\tx2126\tx2835\tx3540\tx4253\tx4961\tx5670\tqr\tx8363\adjustright \f66\fs20\lang2057\kerning16\cgrid {An event of default (\ldblquote Event of Default\rquote ) shall mean with respect to a party (the \ldblquote Defaulting Party\rdblquote )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creditors\rquote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(h) in respect of Counterparty, a change of Control occurs; or (i) Counterparty fails to provide a letter of credit or guarantee in accordance with }{\deleted\revauthdel1\revdttmdel1178762241 s}{\revised\revauth1\revdttm1178762241 S}{ection 4 on request by Enron or any default occurs under the terms of such letter of credit or guarantee.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Each obligation of each party under this GTC is subject to the condition precedent that no Event of Default in respect of the other party has occurred and is continuing.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{6.\tab Remedies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\qj\li720\sa280\sl280\slmult0\widctlpar\tx709\tx1418\tx2126\tx2835\tx3544\tx4253\tx4961\tx5670\tqr\tx8363\adjustright \f66\fs20\lang2057\kerning16\cgrid {If an Event of Default shall have occurred and shall be continuing, the non-defaulting party may in its sole discretion, by no more than 20 days\rquote  notice to the Defaulting Party, designate a day no earlier than the day such notice is effective as an early termination date (\ldblquote Early Termination Date\rdblquote ).  On the Early Termination Date, all obligations under all Transactions shall be terminated, except as provided below.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If an Early Termination Date has been designated, the non-defaulting party shall in good faith calculate its Gains or Losses and Costs resulting from the termination of the parties\rquote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party\rquote 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party\rquote s aggregate Gains exceed its aggregate Losses and Costs, if any, the non-defaulting party shall, within ten Business Days of receipt of such notice, pay the net amount to the Defaulting Party.  For the purposes of the above: (a)\~\ldblquote Costs\rdblquote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Transaction; (b) \ldblquote Gains\rdblquote  shall mean, with respect to a party, an amount equal to the present value of the economic benefit, if any, (exclusive of Costs) to it resulting from the termination of its obligations with respect to a Transaction, determined in a commercially reasonable manner; and (c) \ldblquote Losses\rdblquote  shall mean an amount equal to the present value of the economic loss, if any, (exclusive of Costs) to it resulting from the termination of its obligations with respect to a Transaction, determined in a commercially reasonable manner.  }{\b NO PARTY SHALL BE REQUIRED TO PAY SPECIAL, EXEMPLARY, PUNITIVE, INCIDENTAL, CONSEQUENTIAL OR INDIRECT DAMAGES (WHETHER OR NOT ARISING FROM A PARTY\rquote 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\qj\li709\sa280\sl280\slmult0\widctlpar\tx709\tx1418\tx2126\tx2835\tx3544\tx4253\tx4961\tx5670\tqr\tx8363\adjustright {\b NOTHING IN THIS GTC SHALL HAVE THE EFFECT OF LIMITING OR RESTRICTING EITHER PARTY\rquote S LIABILITY ARISING AS A RESULT OF ITS FRAUD. ANY LIMITATIONS OR RESTRICTIONS ON THE LIABILITY OF EITHER PARTY IN THIS GTC SHALL ONLY APPLY TO THE EXTENT PERMITTED BY APPLICABLE LAW.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{7.\tab Set-off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set-}{\deleted\revauthdel1\revdttmdel1178762242 \tab }{off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\s1\fi-708\li709\sa280\sl280\slmult0\keepn\widctlpar\tx709\tx1418\tx2126\tx2835\tx3544\tx4253\tx4961\tx5670\tqr\tx8363\outlinelevel0\adjustright \b\f66\fs20\lang2057\kerning16\cgrid {8.\tab Termination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\s88\qj\li709\sa280\sl280\slmult0\widctlpar\tx709\tx1418\tx2126\tx2835\tx3544\tx4253\tx4961\tx5670\tqr\tx8363\adjustright \f66\fs20\lang2057\kerning16\cgrid 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{9.\tab Miscellaneous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effect}{\revised\revauth1\revdttm1178762243 ; for the avoidance of doubt, it shall not be unreasonable to withhold consent to a proposed transfer or assignment if on the next }{\revised\revauth1\revdttm1178762245 succeeding }{\revised\revauth1\revdttm1178762244 Payment Date}{\revised\revauth1\revdttm1178762245 , the non-transferring or non-assigning party will be required to gross up its payments to the proposed transferee or assignee or receive payments from the proposed transferee net of withho}{\revised\revauth1\revdttm1178762247 l}{\revised\revauth1\revdttm1178762245 ding }{\revised\revauth1\revdttm1178762246 or deduction that would not otherwise be required hereunder or under applicable law in the absence of the proposed assignment or transfer }{.  Enron may assign and/or transfer the whole or any part of its rights or obligations under any Transaction(s) and this GTC to one or more Affiliates.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The governing law and jurisdiction applicable to each Transaction and this GTC shall be determined according to paragraph 1 of the Schedule to this GTC.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Enron and Counterparty agree that the words \ldblquote financial products,\rdblquote  shall be inserted in the sixth line of the first paragraph of the ETA after the words \ldblquote for the trading of products and instruments based on\rdblquote .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  In the event of any conflict between the ETA and this GTC, this GTC shall prevail.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\s1\fi-708\li709\sa280\sl280\slmult0\keepn\widctlpar\tx709\tx1418\tx2126\tx2835\tx3544\tx4253\tx4961\tx5670\tqr\tx8363\outlinelevel0\adjustright \b\f66\fs20\lang2057\kerning16\cgrid {10.\tab Notices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{All notices in connection with a Transaction may be given between 9.00\~a.m. and 4.00\~p.m.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4.00\~p.m. on a Business Day, it will be deemed to be delivered on the next following Business Day.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\s1\fi-708\li709\sa280\sl280\slmult0\keepn\widctlpar\tx709\tx1418\tx2126\tx2835\tx3544\tx4253\tx4961\tx5670\tqr\tx8363\outlinelevel0\adjustright \b\f66\fs20\lang2057\kerning16\cgrid {11.\tab Amendment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{12.\tab Taxes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{(A)\tab Payor Representations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\qj\li1418\sa280\sl280\slmult0\widctlpar\tx709\tx1418\tx2126\tx2835\tx3544\tx4253\tx4961\tx5670\tqr\tx8363\adjustright \f66\fs20\lang2057\kerning16\cgrid {In connection with making all payments under a Transaction, each party makes the following payor representation: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For the purposes of this representation, \ldblquote Relevant Jurisdiction\rdblquote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{(B)\tab Payee Representations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\qj\li1418\sa280\sl280\slmult0\keepn\widctlpar\tx709\tx1418\tx2126\tx2835\tx3544\tx4253\tx4961\tx5670\tqr\tx8363\adjustright \f66\fs20\lang2057\kerning16\cgrid {In connection with receiving all payments under a Transaction, Counterparty makes the following payee representations: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\qj\li1418\sa280\sl280\slmult0\widctlpar\tx709\tx1418\tx2126\tx2835\tx3544\tx4253\tx4961\tx5670\tqr\tx8363\adjustright {It is fully eligible for the benefits of the \ldblquote Business Profits\rdblquote  or \ldblquote Industrial and Commercial Profits\rdblquote  provision, as the case may be, the \ldblquote Interest\rdblquote  provision or the \ldblquote Other Income\rdblquote  provision (if any) of the Counterparty Residenc}{\revised\revauth1\revdttm1178762249 e}{\deleted\revauthdel1\revdttmdel1178762249 y}{ Treaty (if any) with respect to any payment described in such provisions and received or to be received by it in connection with the }{\deleted\revauthdel1\revdttmdel1178762248 0}{Transaction, and (unless the Counterparty Branch Jurisdiction (if any) or the Counterparty Residence Jurisdiction is the United }{\deleted\revauthdel1\revdttmdel1178762248 Kingdom}{\revised\revauth1\revdttm1178762248 States}{) no such payment is attributable to a trade or business carried on by it through a permanent establishment in the }{\deleted\revauthdel1\revdttmdel1178762248 United Kingdom }{\revised\revauth1\revdttm1178762248 States}{.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In connection with receiving all payments under a Transaction, Enron makes the following payee representations: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It is fully eligible for the benefits of the \ldblquote Business Profits\rdblquote  or \ldblquote Industrial and Commercial Profits\rdblquote  provision, as the case may be, the \ldblquote Interest\rquote  provision or the \ldblquote Other Income\rdblquote  provision (if any) of the Counterparty Residence Treaty (if any) with respect to any payment described in such provisions and received or to be received by it in connection with the Transaction, and (unless the Counterparty Residence Jurisdiction is the United }{\deleted\revauthdel1\revdttmdel1178762249 Kingdom}{\revised\revauth1\revdttm1178762249 States}{) no such payment is attributable to a trade or business carried on by it through a permanent establishment in the Counterparty Residence Jurisdiction.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If there is a Counterparty Branch Jurisdiction, it is fully eligible for the benefits of the \ldblquote Business Profits\rdblquote  or \ldblquote Industrial and Commercial Profits\rdblquote  provision, as the case may be, the \ldblquote Interest\rdblquote  provision or the \ldblquote Other Income\rdblquote  provision (if any) of the Counterparty Branch Treaty (if any) with respect to any payment described in such provision and received or to be received by it in connection with the Transaction, and (unless the Branch Jurisdiction is the United }{\deleted\revauthdel1\revdttmdel1178762249 Kingdom}{\revised\revauth1\revdttm1178762249 States}{) no such payment is attributable to a trade or business carried on by it through a permanent establishment in the Counterparty Branch Jurisdiction.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}{\i Counterparty}{ }{\i Branch Jurisdiction}{\rdblquote  means the jurisdiction (if any) specified as such by the parties to a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}{\i Counterparty Branch Treaty}{\rdblquote  means the income tax treaty between the United States and the Branch Jurisdiction provided that, where there is no such treaty, there shall be no Counterparty Branch Treaty.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}{\i Counterparty Residence Treaty}{\rdblquote  means the income tax treaty between the United }{\deleted\revauthdel1\revdttmdel1178762249 Kingdom  }{\revised\revauth1\revdttm1178762249 States }{and the Counterparty Residence Jurisdiction provided that, where there is no such treaty, there shall be no Counterparty Residence Treaty.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}{\i Counterparty Residence Jurisdiction}{\rdblquote  means the jurisdiction specified as such by the parties to a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{(C)\tab Changes in Representation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\qj\li1418\sa280\sl280\slmult0\widctlpar\tx709\tx1418\tx2126\tx2835\tx3544\tx4253\tx4961\tx5670\tqr\tx8363\adjustright \f66\fs20\lang2057\kerning16\cgrid {If any representation made under this Section becomes untrue or inaccurate during the term of a Transaction, the party whose representation has changed shall promptly give the other party written notice of such change.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{(D)\tab Withholding Tax Exemption Form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\qj\li1418\sa280\sl280\slmult0\widctlpar\tx709\tx1418\tx2126\tx2835\tx3544\tx4253\tx4961\tx5670\tqr\tx8363\adjustright \f66\fs20\lang2057\kerning16\cgrid {Upon request, each party shall provide the other with a properly completed and executed exemption form, certificate or other document that will allow the other party to make any payment hereunder without deduction or withholding for Tax, including, but not limited to, the United States }{\deleted\revauthdel1\revdttmdel1178762250 Inland }{\revised\revauth1\revdttm1178762250 Internal }{Revenue }{\revised\revauth1\revdttm1178762250 Service }{Form W-8}{\deleted\revauthdel1\revdttmdel1178762250  and }{\revised\revauth1\revdttm1178762250 , }{1001 }{\revised\revauth1\revdttm1178762250 and/or 4224 }{and }{\revised\revauth1\revdttm1178762250 appropriate }{successor forms}{\revised\revauth1\revdttm1178762250  thereto}{.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{(E)\tab Gross Up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\qj\li1418\sa280\sl280\slmult0\widctlpar\tx709\tx1418\tx2126\tx2835\tx3544\tx4253\tx4961\tx5670\tqr\tx8363\adjustright \f66\fs20\lang2057\kerning16\cgrid {All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(\ldblquote X\rdblquote ) will: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\s4\qj\fi-708\li2126\sa280\sl280\slmult0\widctlpar\tx1418\tx2138\tx2835\tx3544\tx4253\tx4961\tx5670\tqr\tx8363\outlinelevel3\adjustright \f66\fs20\lang2057\kerning16\cgrid {(i)\tab Promptly notify the other party (\ldblquote Y\rdblquote ) of such requirement;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(ii)\tab 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(iii)\tab Promptly forward to Y an official receipt (or certified copy thereof) or other documentation reasonably acceptable to Y evidencing such payment to such authorities;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(iv)\tab 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{(F)\tab Liability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\qj\li1418\sa280\sl280\slmult0\keepn\widctlpar\tx709\tx1418\tx2126\tx2835\tx3544\tx4253\tx4961\tx5670\tqr\tx8363\adjustright \f66\fs20\lang2057\kerning16\cgrid {If: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\s4\qj\fi-708\li2126\sa280\sl280\slmult0\widctlpar\tx1418\tx2138\tx2835\tx3544\tx4253\tx4961\tx5670\tqr\tx8363\outlinelevel3\adjustright \f66\fs20\lang2057\kerning16\cgrid {(i)\tab X is required by any applicable law, as modified by the practice of any relevant governmental revenue authority, to make any deduction or withholding for or on account of any Tax in respect of which X would not be required to pay an additional amount to Y under subsection (E)(iv);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(ii)\tab X does not so deduct or withhold;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(iii)\tab 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{(G)\tab Change in Tax Law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\qj\li1418\sa280\sl280\slmult0\keepn\widctlpar\tx709\tx1418\tx2126\tx2835\tx3544\tx4253\tx4961\tx5670\tqr\tx8363\adjustright \f66\fs20\lang2057\kerning16\cgrid {If, as a result of a Change in Tax Law, Counterparty or Enron will, or there is a substantial likelihood that it will, on the next succeeding payment date: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\s4\qj\fi-708\li2126\sa280\sl280\slmult0\widctlpar\tx1418\tx2138\tx2835\tx3544\tx4253\tx4961\tx5670\tqr\tx8363\outlinelevel3\adjustright \f66\fs20\lang2057\kerning16\cgrid {(i)\tab Be required to pay to the other party an additional amount in respect of an Indemnifiable Tax (except in respect of any interest payable under the Transaction); or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(ii)\tab Receive a payment from which an amount is required to be deducted or withheld on account of a any Tax (except in respect of any interest payable under the Transaction) and no additional amount is required to be paid in respect of such Tax under subsection (E)(iv) (other than by reason of subsection (E)(iv)(a) or (b))}{\revised\revauth1\revdttm1178762250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\s4\qj\li1418\sa280\sl280\slmult0\widctlpar\tx1418\tx2138\tx2835\tx3544\tx4253\tx4961\tx5670\tqr\tx8363\outlinelevel3\pnrnot1\adjustright {\deleted\revauthdel1\revdttmdel1178762251  }{then such party may, in its sole discretion, upon two (2) Business Days notice to the other party, designate an Early Termination Date under Section 6 of this GTC. For purposes of calculating Gains, Losses and Costs under Section 6 of this GTC, the party designating the Early Termination Date as a result of a Change in Tax Law shall be treated as the Defaulting Party, and the other party shall be treated as the non-defaulting party.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\s3\qj\fi-709\li1418\sa280\sl280\slmult0\keepn\widctlpar\tx1418\tx2126\tx2835\tx3544\tx4253\tx4961\tx5670\tqr\tx8363\outlinelevel2\adjustright \f66\fs20\lang2057\kerning16\cgrid {(H)\tab Miscellaneous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\qj\li1418\sa280\sl280\slmult0\widctlpar\tx709\tx1418\tx2126\tx2835\tx3544\tx4253\tx4961\tx5670\tqr\tx8363\adjustright \f66\fs20\lang2057\kerning16\cgrid {It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 (F) or (G)).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{13.\tab Currency Provisions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{14.\tab General Definitions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\qj\li709\sa280\sl280\slmult0\keepn\widctlpar\tx709\tx1418\tx2126\tx2835\tx3544\tx4253\tx4961\tx5670\tqr\tx8363\adjustright \f66\fs20\lang2057\kerning16\cgrid {As used in this GTC: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\li720\sa280\sl280\slmult0\widctlpar\tx709\tx1418\tx2126\tx2835\tx3544\tx4253\tx4961\tx5670\tqr\tx8363\adjustright {\ldblquote }{\i Affiliate}{\rdblquote  shall mean: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\s5\qj\fi-709\li1418\sa280\sl280\slmult0\widctlpar\tx1418\tx2126\tx3119\tx3544\tx4253\tx4961\tx5670\tqr\tx8363\outlinelevel4\adjustright \f66\fs20\lang2057\kerning16\cgrid {(a)\tab in relation to any party, any entity, directly or indirectly in the Control of the party, any entity that Controls, directly or indirectly, the party or any entity directly or indirectly under common Control with the party;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(b)\tab in relation to Enron, any entity, whether or not under the Control of Enron or under the Control of any entity falling within paragraph (a) above, established by Enron and/or or any entity falling within paragraph (a) above in connection with a financing transaction (including, without limitation, any monetisation, securitisation or sub-participation of Enron\rquote s rights and/or obligations under any or all of the Transactions entered into pursuant to this GTC).}{\strike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\s5\fi-709\li1418\sa280\sl280\slmult0\widctlpar\tx1418\tx2126\tx3119\tx3544\tx4253\tx4961\tx5670\tqr\tx8363\outlinelevel4\adjustright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\qj\li709\sa280\sl280\slmult0\keepn\widctlpar\tx709\tx1418\tx2126\tx2835\tx3544\tx4253\tx4961\tx5670\tqr\tx8363\adjustright \f66\fs20\lang2057\kerning16\cgrid {\i \ldblquote Bankruptcy Event\rdblquote }{ shall mean: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\qj\fi-709\li1418\sa280\sl280\slmult0\widctlpar\tx709\tx1418\tx2126\tx2835\tx3544\tx4253\tx4961\tx5670\tqr\tx8363\adjustright {(i) \tab the Reference Entity is dissolved (other than pursuant to a consolidation, amalgamation or merger);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(ii)\tab the Reference Entity makes a general assignment, arrangement or composition with or for the benefit of its creditors;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(iii) \tab the Reference Entity institutes with respect to itself or has instituted against it a proceeding seeking a judgement of insolvency or bankruptcy or any other relief under any bankruptcy or insolvency law or other similar law affecting creditors\rquote  rights, or a petition is presented for its winding-up or liquidation, and, in the case of any such proceeding or petition instituted or presented against it, such proceeding or petition: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\qj\fi-709\li2127\sa280\sl280\slmult0\widctlpar\tx709\tx1418\tx2126\tx2835\tx3544\tx4253\tx4961\tx5670\tqr\tx8363\adjustright {(a)\tab results in a judgement of insolvency or bankruptcy or the entry of an order for relief or the making of an order for its winding-up or liquidation; or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(b)\tab is not dismissed, discharged, stayed or restrained, in each case within 30 days of the institution or presentation thereof;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\qj\fi-709\li1418\sa280\sl280\slmult0\widctlpar\tx709\tx1418\tx2126\tx2835\tx3544\tx4253\tx4961\tx5670\tqr\tx8363\adjustright {(iv) \tab the Reference Entity has a resolution passed for its winding-up, official management or liquidation (other than pursuant to a consolidation, amalgamation or merger);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(v) \tab the Reference Entity seeks or becomes subject to the appointment of an administrator, provisional liquidator, conservator, receiver, trustee, custodian or other similar official for it or for all or substantially all its assets;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(vi) \tab the Reference Entity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(vii) \tab the Reference Entity causes or is subject to any event with respect to it which, under the applicable laws of any jurisdiction, has an analogous effect to any of the events specified in clauses (i) to (vi) (inclusive); or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(viii) \tab takes any action in furtherance of, or indicating its consent to, approval of, or acquiescence in, any of the foregoing acts.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\qj\li709\sa280\sl280\slmult0\widctlpar\tx709\tx1418\tx2126\tx2835\tx3544\tx4253\tx4961\tx5670\tqr\tx8363\adjustright {\i \ldblquote Bankruptcy Event Notice\rdblquote }{ shall mean an irrevocable notice delivered by one party to the other  that describes in reasonable detail a Bankruptcy Event occurring on or after the Effective Date and on or before the Scheduled Termination Date.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Business Day\rdblquote  }{shall have the meaning set out in Paragraph\~2 of the Schedule to this GTC.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Buyer\rdblquote }{ shall mean the purchaser of the Credit Product in respect of a Transaction as set out on this website and recorded in Enron\rquote s electronic records in respect of the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Buyer Payment\rdblquote }{ shall mean the amount to be paid on each Buyer Payment Date by the Buyer to the Seller to purchase the Credit Product pursuant to a Transaction as set out on this website and recorded in Enron\rquote s electronic records in respect of the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\qj\li709\sa280\sl280\slmult0\keepn\widctlpar\tx709\tx1418\tx2126\tx2835\tx3544\tx4253\tx4961\tx5670\tqr\tx8363\adjustright {\i \ldblquote Buyer Payment Date\rdblquote }{ shall mean in respect of a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\qj\fi-709\li1418\sa280\sl280\slmult0\widctlpar\tx709\tx1418\tx2126\tx2835\tx3544\tx4253\tx4961\tx5670\tqr\tx8363\adjustright {(i)\tab in respect of the first payment, the first Quarter Day falling after the Effective Date for that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(ii)\tab in respect of the second and each subsequent payment, each Quarter Day falling before the Scheduled Termination Date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(iii)\tab in respect of the final payment, the Scheduled Termination Date.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\qj\li709\sa280\sl280\slmult0\widctlpar\tx709\tx1418\tx2126\tx2835\tx3544\tx4253\tx4961\tx5670\tqr\tx8363\adjustright {\i \ldblquote Change in Tax Law\rdblquote  }{shall mean any proposed or final rulemaking published by a taxing authority, or a final decision of a court of competent jurisdiction, after the }{\deleted\revauthdel1\revdttmdel1178762251 [date hereof] [}{Trade Date of the relevant Transaction}{\deleted\revauthdel1\revdttmdel1178762251 ]}{ (regardless of whether}{\b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}{\deleted\revauthdel1\revdttmdel1178762251 [date hereof] [}{Trade date of the relevant Transaction}{\deleted\revauthdel1\revdttmdel1178762251 ]}{.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Contract Currency\rdblquote }{ shall mean the currency in which the Buyer Payments and Seller Payment shall be made in respect of a Transaction as set out on this website and recorded in Enron\rquote s electronic records in respect of the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Control\rdblquote }{ shall mean in respect of an entity the right to exercise more than 50 per cent. of the voting power in that entity and control shall be deemed to exist through (a) the direct or indirect ownership of 50 per cent}{\deleted\revauthdel1\revdttmdel1178762252 .}{ or more of the nominal value of the equity or issued share capital or of the shares or of 50 per cent}{\deleted\revauthdel1\revdttmdel1178762252 .}{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}{\i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Credit Product\rdblquote }{ shall mean in respect of a Transaction the credit protection which the parties to such Transaction buy or sell in respect of the  Reference Entity the subject of such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Derivative Transaction\rdblquote }{ shall mean any swap, option or other financially-settled derivative transaction between the parties (but, for the avoidance of doubt, shall not include any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Determination Agent\rdblquote }{ shall mean Enron.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Effective Date\rdblquote }{ shall mean 12.01 a.m.  on the date falling two Months after the Trade Date.}{\strike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}{\deleted\revauthdel1\revdttmdel1178762252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ETA\rdblquote }{ shall mean the electronic trading agreement (as amended or modified) entered into by the parties in respect of Transactions.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Indemnifiable Tax\rdblquote }{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 or any letter of credit or guarantee provided pursuant to Section 4.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Interest Rate\rdblquote }{ shall mean (a) with respect to a non-defaulting party, a per annum rate of interest equal to the one month USD LIBOR as published as of 11.00\~a.m. (London Time) by Barclays Bank PLC, and (b) with respect to a Defaulting Party, a per annum rate of interest equal to three percent (3%) over such rate; provided, however, in either case the Interest Rate may never exceed the maximum lawful rate under applicable law.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}{\i Month}{\rdblquote  shall mean calendar month.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Notice of Publicly Available Information\rdblquote }{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}{\i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Payment Date\rdblquote }{ shall mean each of the Buyer Payment Date or the Seller Payment Date or both such dates as the context may require.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Publicly Available Information\rdblquote }{ shall mean information that reasonably confirms any of the assertions made in a Bankruptcy Event Notice and that has been published in or on (a)\~not less than two of the following news sources (and any of their successor news sources): Bloomberg Service, Dow Jones Telerate Service, Reuter Monitor Money Rates Services, Dow Jones News Wire, Wall Street Journal, New York Times, Financial Times or (b)\~any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\ldblquote }{\i Quarter Day}{\rdblquote  shall mean the last Business Day in March, June, September and December.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Reference Entity\rdblquote }{ shall mean the entity in respect of which the Credit Product is being bought and sold as set out on this website and recorded in Enron\rquote s electronic records in respect of a Transaction and any Successor.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Scheduled Termination Date\rdblquote }{ shall mean in respect of a Transaction 12.01 a.m. on the scheduled termination date set out on this website and recorded in Enron\rquote s electronic records in respect of the  Transaction or, if that day is not a Business Day, the immediately preceding Business Day.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Seller\rdblquote }{ shall mean the Seller of the Credit Product as set out on this website and recorded in Enron\rquote s electronic records in respect of a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Seller Payment\rdblquote }{ shall mean the amount to be paid by the Seller in accordance with the terms of the GTC following the occurrence of a Bankruptcy Event as set out on this website and recorded in Enron\rquote s electronic records in respect of a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Seller Payment Date\rdblquote }{ shall mean the date falling five Business Days after the date on which  a valid Bankruptcy Event Notice and a Notice of Publicly Available Information is delivered by one party to the other.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Successor\rdblquote }{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Tax\rdblquote }{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}{\i \ldblquote Trade Date\rdblquote  }{shall mean the date the parties enter into a Transaction as set out on this website and recorded in Enron\rquote s electronic records in respect of that Transaction.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References in this GTC to times are to the times set out in Paragraph\~3 of the Schedule to this GTC.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References in this GTC to any statutes or other legislation are to such statutes or legislation as amended, modified, replaced or re-enacted from time to time.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\s16\qc\sa280\sl280\slmult0\keepn\widctlpar\tx709\tx1418\tx2126\tx2835\tx3544\tx4253\tx4961\tx5670\tqr\tx8363\adjustright \b\f66\fs20\lang2057\kerning16\cgrid {\page SCHEDULE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\qc\sa280\sl280\slmult0\widctlpar\tx709\tx1418\tx2126\tx2835\tx3544\tx4253\tx4961\tx5670\tqr\tx8363\adjustright \f66\fs20\lang2057\kerning16\cgrid {\b Amendments to the GTC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\s1\fi-708\li709\sa280\sl280\slmult0\keepn\widctlpar\tx709\tx1418\tx2126\tx2835\tx3544\tx4253\tx4961\tx5670\tqr\tx8363\outlinelevel0\adjustright \b\f66\fs20\lang2057\kerning16\cgrid {\b0 1.\tab }{Governing law and jurisdiction}{\b0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{\b 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}{\b Where the Counterparty to a Transaction is incorporated or organised in the United\~Stated or Canada, the Transaction and this GTC shall be governed by, interpreted and construed in accordance with the laws of the State of New\~York and each party agrees to submit to the non-exclusive jurisdiction of the Courts of New\~York and waives any claim that any proceedings brought in such courts have been brought in an inconvenient forum.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\s1\fi-708\li709\sa280\sl280\slmult0\keepn\widctlpar\tx709\tx1418\tx2126\tx2835\tx3544\tx4253\tx4961\tx5670\tqr\tx8363\outlinelevel0\adjustright \b\f66\fs20\lang2057\kerning16\cgrid {2.\tab Business Day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{Where Counterparty to a Transaction is incorporated or organised outside of the United\~States or Canada, \ldblquote }{\i Business Day}{\rdblquote  shall mean a day (other than a Saturday or a Sunday) on which commercial banks are open for domestic business in London.  Where Counterparty to a Transaction is incorporated or organised in the United\~States or Canada, \ldblquote }{\i Business Day}{\rdblquote  shall mean a day (other than a Saturday or a Sunday) on which commercial banks are open for domestic business in New\~York.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\s1\fi-708\li709\sa280\sl280\slmult0\keepn\widctlpar\tx709\tx1418\tx2126\tx2835\tx3544\tx4253\tx4961\tx5670\tqr\tx8363\outlinelevel0\adjustright \b\f66\fs20\lang2057\kerning16\cgrid {\b0 3.\tab }{Times}{\b0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\qj\li709\sa280\sl280\slmult0\widctlpar\tx709\tx2126\tx2835\tx3544\tx4253\tx4961\tx5670\tqr\tx8363\adjustright \f66\fs20\lang2057\kerning16\cgrid {Where Counterparty to a Transaction is incorporated or organised outside of the United\~States or Canada, references to times shall be construed as references to London time.  Where Counterparty to a Transaction is incorporated or organised in the United\~States or Canada, references to time shall be construed as references to Central Standard Time in the United\~States.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{4.\tab Exclusion of third party rights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\s86\qj\fi-709\li709\sa280\sl280\slmult0\widctlpar\tx709\tx1418\tx2126\tx2835\tx3544\tx4253\tx4961\tx5670\tqr\tx8363\adjustright \f66\fs20\lang2057\kerning16\cgrid \tab Where pursuant to Paragraph 1 of this Schedule this GTC is to be governed by the laws of England, the parties do not intend that any term of this GTC should be enforceable, by virtue of the Contracts (Rights of Third Parties) Act 1999, by any person who is not a party to this GTC.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\s1\qj\fi-708\li709\sa280\sl280\slmult0\keepn\widctlpar\tx709\tx1418\tx2126\tx2835\tx3544\tx4253\tx4961\tx5670\tqr\tx8363\outlinelevel0\adjustright \b\f66\fs20\lang2057\kerning16\cgrid {5.\tab Event of default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\qj\li709\sa280\sl280\slmult0\widctlpar\tx709\tx1418\tx2126\tx2835\tx3544\tx4253\tx4961\tx5670\tqr\tx8363\adjustright \f66\fs20\lang2057\kerning16\cgrid {Where Counterparty to a Transaction is incorporated or organised in Germany: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}\pard\plain \s5\qj\fi-709\li1418\sa280\sl280\slmult0\widctlpar\tx1418\tx2126\tx3544\tx4253\tx4961\tx5670\tqr\tx8363\outlinelevel4\adjustright \f66\fs20\lang2057\kerning16\cgrid {(a)\tab the words \ldblquote save that, upon the occurrence of an Event of Default specified in Section 5(d), an Early Termination Date shall automatically be designated as the date of occurrence of the Event of Default\rdblquote  shall be inserted at the end of the first sentence of the first paragraph of Section 6; and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\s5\qj\fi-851\li1560\sa280\sl280\slmult0\widctlpar\tx1418\tx2126\tx3544\tx4253\tx4961\tx5670\tqr\tx8363\outlinelevel4\adjustright {(b)\tab the third sentence of Section 7 shall be deleted.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 xml:space="preserve">\par }\pard \s5\fi-851\li1560\sa280\sl280\slmult0\widctlpar\tx1418\tx2126\tx3544\tx4253\tx4961\tx5670\tqr\tx8363\outlinelevel4\adjustright { </w:t>
      </w:r>
    </w:p>
    <w:p>
      <w:pPr>
        <w:pStyle w:val="Normal"/>
        <w:bidi w:val="0"/>
        <w:spacing w:lineRule="auto" w:line="240" w:before="0" w:after="0"/>
        <w:ind w:hanging="0" w:start="0" w:end="0"/>
        <w:jc w:val="start"/>
        <w:rPr>
          <w:rFonts w:ascii="Geneva" w:hAnsi="Geneva" w:eastAsia="Geneva" w:cs="Geneva"/>
          <w:color w:val="000000"/>
          <w:sz w:val="24"/>
          <w:szCs w:val="24"/>
        </w:rPr>
      </w:pPr>
      <w:r>
        <w:rPr>
          <w:rFonts w:eastAsia="Geneva" w:cs="Geneva" w:ascii="Geneva" w:hAnsi="Geneva"/>
          <w:color w:val="000000"/>
          <w:sz w:val="24"/>
          <w:szCs w:val="24"/>
        </w:rPr>
        <w:t>\par }}</w:t>
      </w:r>
    </w:p>
    <w:sectPr>
      <w:type w:val="nextPage"/>
      <w:pgSz w:w="12240" w:h="15840"/>
      <w:pgMar w:left="1440" w:right="144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neva">
    <w:charset w:val="01" w:characterSet="utf-8"/>
    <w:family w:val="auto"/>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