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{\rtf1\ansi\ansicpg1252\uc1 \deff66\deflang1033\deflangfe1033{\fonttbl{\f0\froman\fcharset0\fprq2{\*\panose 02020603050405020304}Times New Roman;}{\f1\fswiss\fcharset0\fprq2{\*\panose 020b0604020202020204}Arial;}{\f2\fmodern\fcharset0\fprq1{\*\panose 02070309020205020404}Courier New;}{\f3\froman\fcharset2\fprq2{\*\panose 05050102010706020507}Symbol;}{\f4\froman\fcharset0\fprq2{\*\panose 02020603050405020304}Times;}{\f66\fnil\fcharset0\fprq2{\*\panose 00000800000000000000}Charter BT;}{\f73\froman\fcharset238\fprq2 Times New Roman CE;}{\f74\froman\fcharset204\fprq2 Times New Roman Cyr;}{\f76\froman\fcharset161\fprq2 Times New Roman Greek;}{\f77\froman\fcharset162\fprq2 Times New Roman Tur;}{\f78\froman\fcharset186\fprq2 Times New Roman Baltic;}{\f79\fswiss\fcharset238\fprq2 Arial CE;}{\f80\fswiss\fcharset204\fprq2 Arial Cyr;}{\f82\fswiss\fcharset161\fprq2 Arial Greek;}{\f83\fswiss\fcharset162\fprq2 Arial Tur;}{\f84\fswiss\fcharset186\fprq2 Arial Baltic;}{\f85\fmodern\fcharset238\fprq1 Courier New CE;}{\f86\fmodern\fcharset204\fprq1 Courier New Cyr;}{\f88\fmodern\fcharset161\fprq1 Courier New Greek;}{\f89\fmodern\fcharset162\fprq1 Courier New Tur;}{\f90\fmodern\fcharset186\fprq1 Courier New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sa280\sl280\slmult0\nowidctlpar\tx709\tx1418\tx2126\tx2835\tx3544\tx4253\tx4961\tx5670\tqr\tx8363\adjustright \f66\fs20\lang2057\kerning16\cgrid \snext0 Normal;}{\s1\fi-708\li709\sa280\sl280\slmult0\keepn\nowidctlpar\tx709\tx1418\tx2126\tx2835\tx3544\tx4253\tx4961\tx5670\tqr\tx8363\adjustright \b\f66\fs20\lang2057\kerning16\cgrid \sbasedon0 \snext0 heading 1;}{\s2\fi-709\li709\sa280\sl280\slmult0\nowidctlpar\tx709\tx1418\tx2126\tx2835\tx3544\tx4253\tx4961\tx5670\tqr\tx8363\adjustright \b\f66\fs20\lang2057\kerning16\cgrid \sbasedon0 \snext0 heading 2;}{\s3\fi-709\li1418\sa280\sl280\slmult0\nowidctlpar\tx1418\tx2126\tx2835\tx3544\tx4253\tx4961\tx5670\tqr\tx8363\adjustright \f66\fs20\lang2057\kerning16\cgrid \sbasedon0 \snext0 heading 3;}{\s4\fi-708\li2126\sa280\sl280\slmult0\nowidctlpar\tx1418\tx2138\tx2835\tx3544\tx4253\tx4961\tx5670\tqr\tx8363\adjustright \f66\fs20\lang2057\kerning16\cgrid \sbasedon0 \snext0 heading 4;}{\s5\fi-709\li2835\sa280\sl280\slmult0\nowidctlpar\tx1418\tx2126\tx2835\tx3544\tx4253\tx4961\tx5670\tqr\tx8363\adjustright \f66\fs20\lang2057\kerning16\cgrid \sbasedon0 \snext0 heading 5;}{\s6\fi-709\li3544\sa280\sl280\slmult0\nowidctlpar\tx1418\tx2126\tx2835\tx3544\tx4253\tx4961\tx5670\tqr\tx8363\adjustright \f66\fs20\lang2057\kerning16\cgrid \sbasedon0 \snext0 heading 6;}{\s7\fi-709\li4253\sa280\sl280\slmult0\nowidctlpar\tx1418\tx2126\tx2835\tx3544\tx4253\tx4961\tx5670\tqr\tx8363\adjustright \f66\fs20\lang2057\kerning16\cgrid \sbasedon0 \snext0 heading 7;}{\s8\fi-708\li4961\sa280\sl280\slmult0\nowidctlpar\tx1418\tx2126\tx2835\tx3544\tx4253\tx4961\tx5670\tqr\tx8363\adjustright \f66\fs20\lang2057\kerning16\cgrid \sbasedon0 \snext0 heading 8;}{\s9\fi-709\li5670\sa280\sl280\slmult0\nowidctlpar\tx1418\tx2126\tx2835\tx3544\tx4253\tx4961\tx5681\tqr\tx8363\adjustright \f66\fs20\lang2057\kerning16\cgrid \sbasedon0 \snext0 heading 9;}{\*\cs10 \additive Default Paragraph Font;}{\s15\sa280\sl280\slmult0\nowidctlpar\tx709\tx1418\tx2126\tx2835\tx3544\tx4253\tx4961\tx5670\tqr\tx8363\adjustright \f66\fs20\lang2057\kerning16\cgrid \sbasedon0 \snext15 FrontSheet;}{\s16\sa280\sl280\slmult0\keepn\nowidctlpar\tx709\tx1418\tx2126\tx2835\tx3544\tx4253\tx4961\tx5670\tqr\tx8363\adjustright \b\f66\fs20\lang2057\kerning16\cgrid \sbasedon0 \snext0 caption;}{\s17\sa280\sl280\slmult0\nowidctlpar\tx1418\tx2126\tx2835\tx3544\tqc\tx4253\tx4961\tx5670\tqr\tx8363\adjustright \f66\fs20\lang2057\kerning16\cgrid \sbasedon0 \snext17 header;}{\s18\qc\sa280\sl280\slmult0\nowidctlpar\tx1418\tx2126\tx2835\tx3544\tqc\tx4253\tx4961\tx5670\tqr\tx8306\adjustright \f66\fs12\lang2057\kerning16\cgrid \sbasedon0 \snext18 footer;}{\*\cs19 \additive \fs20\kerning16 \sbasedon10 page number;}{\*\cs20 \additive \i\fs16\up6\kerning16 \sbasedon10 annotation reference;}{\s21\sa120\sl280\slmult0\nowidctlpar\tx709\tx1418\tx2126\tx2835\tx3544\tx4253\tx4961\tx5670\tqr\tx8363\adjustright \f66\fs20\lang2057\kerning16\cgrid \sbasedon0 \snext21 Body Text;}{\s22\fi-709\li709\sa280\sl280\slmult0\widctlpar\tx709\tx1418\tx2126\tx2835\tx3544\tx4253\tx4961\tx5670\tqr\tx8363\adjustright \f66\fs20\lang2057\kerning16\cgrid \sbasedon0 \snext22 Body Text 2;}{\s23\li2880\sa280\sl280\slmult0\nowidctlpar\tx709\tx1418\tx2126\tx2835\tx3544\tx4253\tx4961\tx5670\tqr\tx8363\phpg\posxc\posyb\absh-1980\absw7920\dxfrtext180\dfrmtxtx180\dfrmtxty0\adjustright \f66\lang2057\kerning16\cgrid \sbasedon0 \snext23 envelope address;}{\s24\li4252\sa280\sl280\slmult0\nowidctlpar\tx709\tx1418\tx2126\tx2835\tx3544\tx4253\tx4961\tx5670\tqr\tx8363\adjustright \f66\fs20\lang2057\kerning16\cgrid \sbasedon0 \snext24 Closing;}{\s25\sa280\sl280\slmult0\nowidctlpar\tx709\tx1418\tx2126\tx2835\tx3544\tx4253\tx4961\tx5670\tqr\tx8363\adjustright \f66\fs20\lang2057\kerning16\cgrid \sbasedon0 \snext25 envelope return;}{\*\cs26 \additive \b\fs14\up6\kerning16 \sbasedon10 endnote reference;}{\s27\fi-170\li170\sa200\sl220\slmult0\nowidctlpar\tx709\tx1418\tx2126\tx2835\tx3544\tx4253\tx4961\tx5670\tqr\tx8363\adjustright \f66\fs16\lang2057\kerning16\cgrid \sbasedon0 \snext27 endnote text;}{\s28\fi-284\li284\sa120\sl280\slmult0\nowidctlpar\tqr\tldot\tx8363\adjustright \f66\fs20\lang2057\kerning16\cgrid \sbasedon0 \snext0 \sautoupd index 1;}{\s29\fi-284\li993\sa120\sl280\slmult0\nowidctlpar\tqr\tldot\tx8363\adjustright \f66\fs20\lang2057\kerning16\cgrid \sbasedon0 \snext0 \sautoupd index 2;}{\s30\fi-200\li600\sa280\sl280\slmult0\nowidctlpar\tqr\tldot\tx8505\adjustright \f66\fs20\lang2057\kerning16\cgrid \sbasedon0 \snext0 \sautoupd index 3;}{\s31\fi-200\li800\sa280\sl280\slmult0\nowidctlpar\tqr\tldot\tx8505\adjustright \f66\fs20\lang2057\kerning16\cgrid \sbasedon0 \snext0 \sautoupd index 4;}{\s32\fi-200\li1000\sa280\sl280\slmult0\nowidctlpar\tqr\tldot\tx8505\adjustright \f66\fs20\lang2057\kerning16\cgrid \sbasedon0 \snext0 \sautoupd index 5;}{\s33\fi-200\li1200\sa280\sl280\slmult0\nowidctlpar\tqr\tldot\tx8505\adjustright \f66\fs20\lang2057\kerning16\cgrid \sbasedon0 \snext0 \sautoupd index 6;}{\s34\fi-709\li4253\sa280\sl280\slmult0\nowidctlpar\tqr\tldot\tx8505\adjustright \f66\fs20\lang2057\kerning16\cgrid \sbasedon0 \snext0 \sautoupd index 7;}{\s35\fi-200\li1600\sa280\sl280\slmult0\nowidctlpar\tqr\tldot\tx8505\adjustright \f66\fs20\lang2057\kerning16\cgrid \sbasedon0 \snext0 \sautoupd index 8;}{\s36\fi-200\li1800\sa280\sl280\slmult0\nowidctlpar\tqr\tldot\tx8505\adjustright \f66\fs20\lang2057\kerning16\cgrid \sbasedon0 \snext0 \sautoupd index 9;}{\s37\sa280\sl280\slmult0\nowidctlpar\tx709\tx1418\tx2126\tx2835\tx3544\tx4253\tx4961\tx5670\tqr\tx8363\adjustright \f66\fs20\lang2057\kerning16\cgrid \sbasedon0 \snext28 index heading;}{\*\cs38 \additive \fs20\kerning16 \sbasedon10 line number;}{\s39\fi-283\li283\sa280\sl280\slmult0\nowidctlpar\tx709\tx1418\tx2126\tx2835\tx3544\tx4253\tx4961\tx5670\tqr\tx8363\adjustright \f66\fs20\lang2057\kerning16\cgrid \sbasedon0 \snext39 List;}{\s40\fi-283\li566\sa280\sl280\slmult0\nowidctlpar\tx709\tx1418\tx2126\tx2835\tx3544\tx4253\tx4961\tx5670\tqr\tx8363\adjustright \f66\fs20\lang2057\kerning16\cgrid \sbasedon0 \snext40 List 2;}{\s41\fi-283\li849\sa280\sl280\slmult0\nowidctlpar\tx709\tx1418\tx2126\tx2835\tx3544\tx4253\tx4961\tx5670\tqr\tx8363\adjustright \f66\fs20\lang2057\kerning16\cgrid \sbasedon0 \snext41 List 3;}{\s42\fi-283\li1132\sa280\sl280\slmult0\nowidctlpar\tx709\tx1418\tx2126\tx2835\tx3544\tx4253\tx4961\tx5670\tqr\tx8363\adjustright \f66\fs20\lang2057\kerning16\cgrid \sbasedon0 \snext42 List 4;}{\s43\fi-283\li1415\sa280\sl280\slmult0\nowidctlpar\tx709\tx1418\tx2126\tx2835\tx3544\tx4253\tx4961\tx5670\tqr\tx8363\adjustright \f66\fs20\lang2057\kerning16\cgrid \sbasedon0 \snext43 List 5;}{\s44\li283\sa120\sl280\slmult0\nowidctlpar\tx709\tx1418\tx2126\tx2835\tx3544\tx4253\tx4961\tx5670\tqr\tx8363\adjustright \f66\fs20\lang2057\kerning16\cgrid \sbasedon0 \snext44 List Continue;}{\s45\li566\sa120\sl280\slmult0\nowidctlpar\tx709\tx1418\tx2126\tx2835\tx3544\tx4253\tx4961\tx5670\tqr\tx8363\adjustright \f66\fs20\lang2057\kerning16\cgrid \sbasedon0 \snext45 List Continue 2;}{\s46\li849\sa120\sl280\slmult0\nowidctlpar\tx709\tx1418\tx2126\tx2835\tx3544\tx4253\tx4961\tx5670\tqr\tx8363\adjustright \f66\fs20\lang2057\kerning16\cgrid \sbasedon0 \snext46 List Continue 3;}{\s47\li1132\sa120\sl280\slmult0\nowidctlpar\tx709\tx1418\tx2126\tx2835\tx3544\tx4253\tx4961\tx5670\tqr\tx8363\adjustright \f66\fs20\lang2057\kerning16\cgrid \sbasedon0 \snext47 List Continue 4;}{\s48\li1415\sa120\sl280\slmult0\nowidctlpar\tx709\tx1418\tx2126\tx2835\tx3544\tx4253\tx4961\tx5670\tqr\tx8363\adjustright \f66\fs20\lang2057\kerning16\cgrid \sbasedon0 \snext48 List Continue 5;}{\s49\fi-283\li283\sa280\sl280\slmult0\nowidctlpar\tx709\tx1418\tx2126\tx2835\tx3544\tx4253\tx4961\tx5670\tqr\tx8363{\*\pn \pnlvlbody\ilvl11\ls2047\pnrnot0\pndec\pnstart1\pnindent283\pnhang{\pntxta .}}\ls2047\ilvl11\adjustright \f66\fs20\lang2057\kerning16\cgrid \sbasedon0 \snext49 List Number;}{\s50\fi-283\li566\sa280\sl280\slmult0\nowidctlpar\tx709\tx1418\tx2126\tx2835\tx3544\tx4253\tx4961\tx5670\tqr\tx8363{\*\pn \pnlvlbody\ilvl11\ls2047\pnrnot0\pndec\pnstart1\pnindent283\pnhang{\pntxta .}}\ls2047\ilvl11\adjustright \f66\fs20\lang2057\kerning16\cgrid \sbasedon0 \snext50 List Number 2;}{\s51\fi-283\li849\sa280\sl280\slmult0\nowidctlpar\tx709\tx1418\tx2126\tx2835\tx3544\tx4253\tx4961\tx5670\tqr\tx8363{\*\pn \pnlvlbody\ilvl11\ls2047\pnrnot0\pndec\pnstart1\pnindent283\pnhang{\pntxta .}}\ls2047\ilvl11\adjustright \f66\fs20\lang2057\kerning16\cgrid \sbasedon0 \snext51 List Number 3;}{\s52\fi-283\li1132\sa280\sl280\slmult0\nowidctlpar\tx709\tx1418\tx2126\tx2835\tx3544\tx4253\tx4961\tx5670\tqr\tx8363{\*\pn \pnlvlbody\ilvl11\ls2047\pnrnot0\pndec\pnstart1\pnindent283\pnhang{\pntxta .}}\ls2047\ilvl11\adjustright \f66\fs20\lang2057\kerning16\cgrid \sbasedon0 \snext52 List Number 4;}{\s53\fi-283\li1415\sa280\sl280\slmult0\nowidctlpar\tx709\tx1418\tx2126\tx2835\tx3544\tx4253\tx4961\tx5670\tqr\tx8363{\*\pn \pnlvlbody\ilvl11\ls2047\pnrnot0\pndec\pnstart1\pnindent283\pnhang{\pntxta .}}\ls2047\ilvl11\adjustright \f66\fs20\lang2057\kerning16\cgrid \sbasedon0 \snext53 List Number 5;}{\s54\fi-1134\li1134\sa280\sl280\slmult0\nowidctlpar\tx709\tx1418\tx2126\tx2835\tx3544\tx4253\tx4961\tx5670\tqr\tx8363\adjustright \f1\lang2057\kerning16\cgrid \sbasedon0 \snext54 Message Header;}{\s55\li4252\sa280\sl280\slmult0\nowidctlpar\tx709\tx1418\tx2126\tx2835\tx3544\tx4253\tx4961\tx5670\tqr\tx8363\adjustright \f66\fs20\lang2057\kerning16\cgrid \sbasedon0 \snext55 Signature;}{\s56\qc\sa60\sl280\slmult0\nowidctlpar\tx709\tx1418\tx2126\tx2835\tx3544\tx4253\tx4961\tx5670\tqr\tx8363\adjustright \i\f1\lang2057\kerning16\cgrid \sbasedon0 \snext56 Subtitle;}{\s57\qc\sb240\sa60\sl280\slmult0\nowidctlpar\tx709\tx1418\tx2126\tx2835\tx3544\tx4253\tx4961\tx5670\tqr\tx8363\adjustright \b\f1\fs32\lang2057\kerning16\cgrid \sbasedon0 \snext57 Title;}{\s58\sb120\sa280\sl280\slmult0\nowidctlpar\tx709\tx1418\tx2126\tx2835\tx3544\tx4253\tx4961\tx5670\tqr\tx8363\adjustright \b\f1\lang2057\kerning16\cgrid \sbasedon0 \snext0 toa heading;}{\s59\sa280\sl280\slmult0\nowidctlpar\tx709\tqr\tx8363\adjustright \f66\fs20\lang2057\kerning16\cgrid \sbasedon0 \snext0 \sautoupd toc 1;}{\s60\li709\sa280\sl280\slmult0\nowidctlpar\tx1418\tqr\tx8363\adjustright \f66\fs20\lang2057\kerning16\cgrid \sbasedon0 \snext0 \sautoupd toc 2;}{\s61\li709\sa280\sl280\slmult0\nowidctlpar\tx1418\tqr\tx8363\adjustright \f66\fs20\lang2057\kerning16\cgrid \sbasedon0 \snext0 \sautoupd toc 3;}{\s62\li600\sa280\sl280\slmult0\nowidctlpar\tqr\tldot\tx8505\adjustright \f66\fs20\lang2057\kerning16\cgrid \sbasedon0 \snext0 \sautoupd toc 4;}{\s63\li800\sa280\sl280\slmult0\nowidctlpar\tqr\tldot\tx8505\adjustright \f66\fs20\lang2057\kerning16\cgrid \sbasedon0 \snext0 \sautoupd toc 5;}{\s64\li1000\sa280\sl280\slmult0\nowidctlpar\tqr\tldot\tx8505\adjustright \f66\fs20\lang2057\kerning16\cgrid \sbasedon0 \snext0 \sautoupd toc 6;}{\s65\li1200\sa280\sl280\slmult0\nowidctlpar\tqr\tldot\tx8505\adjustright \f66\fs20\lang2057\kerning16\cgrid \sbasedon0 \snext0 \sautoupd toc 7;}{\s66\li1400\sa280\sl280\slmult0\nowidctlpar\tqr\tldot\tx8505\adjustright \f66\fs20\lang2057\kerning16\cgrid \sbasedon0 \snext0 \sautoupd toc 8;}{\s67\li1600\sa280\sl280\slmult0\nowidctlpar\tqr\tldot\tx8505\adjustright \f66\fs20\lang2057\kerning16\cgrid \sbasedon0 \snext0 \sautoupd toc 9;}{\s68\li4253\sa280\sl280\slmult0\nowidctlpar\tx709\tx1418\tx2126\tx2835\tx3544\tx4253\tx4961\tx5670\tqr\tx8363\adjustright \f66\fs20\lang2057\cgrid \sbasedon0 \snext68 BackSheet;}{\*\cs69 \additive \b\fs14\up6\kerning16 \sbasedon10 footnote reference;}{\s70\fi-170\li170\sa200\sl220\slmult0\nowidctlpar\tx709\tx1418\tx2126\tx2835\tx3544\tx4253\tx4961\tx5670\tqr\tx8363\adjustright \f66\fs16\lang2057\kerning16\cgrid \sbasedon0 \snext70 footnote text;}{\s71\sa280\sl280\slmult0\keep\keepn\nowidctlpar\tx709\tx1418\tx2126\tx2835\tx3544\tx4253\tx4961\tx5670\tqr\tx8363\adjustright \f66\fs20\lang2057\kerning16\cgrid \sbasedon0 \snext0 Heading;}{\s72\fi-567\li1418\sa280\sl280\slmult0\nowidctlpar\tx709\tx1418\tx1985\tx2126\tx2552\tx2835\tx3544\tx4253\tx4961\tx5670\tqr\tx8363\adjustright \f66\fs20\lang2057\kerning16\cgrid \sbasedon0 \snext72 Indent1;}{\s73\li1418\sa280\sl280\slmult0\nowidctlpar\tx709\tx1418\tx1985\tx2126\tx2552\tx2835\tx3544\tx4253\tx4961\tx5670\tqr\tx8363\adjustright \f66\fs20\lang2057\kerning16\cgrid \sbasedon0 \snext73 indent2;}{\s74\fi-283\li283\sa280\sl280\slmult0\nowidctlpar\tx709\tx1418\tx2126\tx2835\tx3544\tx4253\tx4961\tx5670\tqr\tx8363{\*\pn \pnlvlbody\ilvl11\ls2047\pnrnot0\pnf4\pnstart1\pnindent283\pnhang{\pntxtb \'b7}}\ls2047\ilvl11\adjustright \f66\fs20\lang2057\kerning16\cgrid \sbasedon0 \snext74 \sautoupd List Bullet;}{\s75\fi-283\li566\sa280\sl280\slmult0\nowidctlpar\tx709\tx1418\tx2126\tx2835\tx3544\tx4253\tx4961\tx5670\tqr\tx8363{\*\pn \pnlvlbody\ilvl11\ls2047\pnrnot0\pnf4\pnstart1\pnindent283\pnhang{\pntxtb \'b7}}\ls2047\ilvl11\adjustright \f66\fs20\lang2057\kerning16\cgrid \sbasedon0 \snext75 \sautoupd List Bullet 2;}{\s76\fi-283\li849\sa280\sl280\slmult0\nowidctlpar\tx709\tx1418\tx2126\tx2835\tx3544\tx4253\tx4961\tx5670\tqr\tx8363{\*\pn \pnlvlbody\ilvl11\ls2047\pnrnot0\pnf4\pnstart1\pnindent283\pnhang{\pntxtb \'b7}}\ls2047\ilvl11\adjustright \f66\fs20\lang2057\kerning16\cgrid \sbasedon0 \snext76 \sautoupd List Bullet 3;}{\s77\fi-283\li1132\sa280\sl280\slmult0\nowidctlpar\tx709\tx1418\tx2126\tx2835\tx3544\tx4253\tx4961\tx5670\tqr\tx8363{\*\pn \pnlvlbody\ilvl11\ls2047\pnrnot0\pnf4\pnstart1\pnindent283\pnhang{\pntxtb \'b7}}\ls2047\ilvl11\adjustright \f66\fs20\lang2057\kerning16\cgrid \sbasedon0 \snext77 \sautoupd List Bullet 4;}{\s78\fi-283\li1415\sa280\sl280\slmult0\nowidctlpar\tx709\tx1418\tx2126\tx2835\tx3544\tx4253\tx4961\tx5670\tqr\tx8363{\*\pn \pnlvlbody\ilvl11\ls2047\pnrnot0\pnf4\pnstart1\pnindent283\pnhang{\pntxtb \'b7}}\ls2047\ilvl11\adjustright \f66\fs20\lang2057\kerning16\cgrid \sbasedon0 \snext78 \sautoupd List Bullet 5;}{\s79\sl160\slmult0\nowidctlpar\tx480\tx960\tx1440\tx1920\tx2400\tx2880\tx3360\tx3840\tx4320\adjustright \f2\fs16\lang2057\cgrid \snext79 macro;}{\s80\li851\sa280\sl280\slmult0\nowidctlpar\tx709\tx1418\tx1985\tx2126\tx2552\tx2835\tx3544\tx4253\tx4961\tx5670\tqr\tx8363\adjustright \f66\fs20\lang2057\kerning16\cgrid \sbasedon0 \snext80 Normal Indent;}{\s81\li1418\sa280\sl240\slmult0\nowidctlpar\tx709\tx1418\tx2126\tx2835\tx3544\tx4253\tx4961\tx5670\tqr\tx8363\adjustright \f66\fs20\lang2057\kerning16\cgrid \sbasedon0 \snext0 Quote;}{\s82\sa280\sl280\slmult0\nowidctlpar\tx709\tqr\tx8363\adjustright \f66\fs20\lang2057\kerning16\cgrid \sbasedon0 \snext0 table of authorities;}{\s83\sa280\sl280\slmult0\nowidctlpar\tx709\tqr\tx8363\adjustright \f66\fs20\lang2057\kerning16\cgrid \sbasedon0 \snext0 table of figures;}{\s84\qc\sa280\sl280\slmult0\nowidctlpar\tx709\tx1418\tx2126\tx2835\tx3544\tx4253\tx4961\tx5670\tqr\tx8363\adjustright \b\f66\fs20\lang2057\kerning16\cgrid \sbasedon0 \snext84 TitleTOC;}{\s85\fi-170\li170\sa200\sl220\slmult0\nowidctlpar\tx709\tx1418\tx2126\tx2835\tx3544\tx4253\tx4961\tx5670\tqr\tx8363\adjustright \f66\fs16\lang2057\kerning16\cgrid \sbasedon0 \snext85 annotation text;}{\s86\qj\li720\sa280\sl280\slmult0\widctlpar\tx709\tx1418\tx2126\tx2835\tx3544\tx4253\tx4961\tx5670\tqr\tx8363\adjustright \f66\fs20\lang2057\kerning16\cgrid \sbasedon0 \snext86 Body Text Indent 2;}{\s87\qj\li709\sa280\sl280\slmult0\widctlpar\tx709\tx1418\tx2126\tx2835\tx3544\tx4253\tx4961\tx5670\tqr\tx8363\adjustright \f66\fs20\lang2057\kerning16\cgrid \sbasedon0 \snext87 Body Text Indent 3;}}{\*\listtable{\list\listtemplateid1707924570\listsimple{\listlevel\levelnfc0\leveljc0\levelfollow0\levelstartat1\levelspace0\levelindent0{\leveltext\'02\'00.;}{\levelnumbers\'01;}\s53\fi-360\li1800\jclisttab\tx1800 }{\listname ;}\listid-132}{\list\listtemplateid1410658694\listsimple{\listlevel\levelnfc0\leveljc0\levelfollow0\levelstartat1\levelspace0\levelindent0{\leveltext\'02\'00.;}{\levelnumbers\'01;}\s52\fi-360\li1440\jclisttab\tx1440 }{\listname ;}\listid-131}{\list\listtemplateid-1574015914\listsimple{\listlevel\levelnfc0\leveljc0\levelfollow0\levelstartat1\levelspace0\levelindent0{\leveltext\'02\'00.;}{\levelnumbers\'01;}\s51\fi-360\li1080\jclisttab\tx1080 }{\listname ;}\listid-130}{\list\listtemplateid-1339229288\listsimple{\listlevel\levelnfc0\leveljc0\levelfollow0\levelstartat1\levelspace0\levelindent0{\leveltext\'02\'00.;}{\levelnumbers\'01;}\s50\fi-360\li720\jclisttab\tx720 }{\listname ;}\listid-129}{\list\listtemplateid1672620244\listsimple{\listlevel\levelnfc23\leveljc0\levelfollow0\levelstartat1\levelspace0\levelindent0{\leveltext\'01\u-3913 ?;}{\levelnumbers;}\f3\fbias0 \s78\fi-360\li1800\jclisttab\tx1800 }{\listname ;}\listid-128}{\list\listtemplateid-293433668\listsimple{\listlevel\levelnfc23\leveljc0\levelfollow0\levelstartat1\levelspace0\levelindent0{\leveltext\'01\u-3913 ?;}{\levelnumbers;}\f3\fbias0 \s77\fi-360\li1440\jclisttab\tx1440 }{\listname ;}\listid-127}{\list\listtemplateid-520069870\listsimple{\listlevel\levelnfc23\leveljc0\levelfollow0\levelstartat1\levelspace0\levelindent0{\leveltext\'01\u-3913 ?;}{\levelnumbers;}\f3\fbias0 \s76\fi-360\li1080\jclisttab\tx1080 }{\listname ;}\listid-126}{\list\listtemplateid2068225442\listsimple{\listlevel\levelnfc23\leveljc0\levelfollow0\levelstartat1\levelspace0\levelindent0{\leveltext\'01\u-3913 ?;}{\levelnumbers;}\f3\fbias0 \s75\fi-360\li720\jclisttab\tx720 }{\listname ;}\listid-125}{\list\listtemplateid-319262300\listsimple{\listlevel\levelnfc0\leveljc0\levelfollow0\levelstartat1\levelspace0\levelindent0{\leveltext </w:t>
      </w:r>
    </w:p>
    <w:p>
      <w:pPr>
        <w:pStyle w:val="Normal"/>
        <w:bidi w:val="0"/>
        <w:spacing w:lineRule="auto" w:line="240" w:before="0" w:after="0"/>
        <w:ind w:hanging="0" w:start="0" w:end="0"/>
        <w:jc w:val="start"/>
        <w:rPr/>
      </w:pPr>
      <w:r>
        <w:rPr>
          <w:rFonts w:eastAsia="Geneva" w:cs="Geneva" w:ascii="Geneva" w:hAnsi="Geneva"/>
          <w:color w:val="000000"/>
          <w:sz w:val="24"/>
          <w:szCs w:val="24"/>
        </w:rPr>
        <w:t>\'02\'00.;}{\levelnumbers\'01;}\s49\fi-360\li360\jclisttab\tx360 }{\listname ;}\listid-120}{\list\listtemplateid91769208\listsimple{\listlevel\levelnfc23\leveljc0\levelfollow0\levelstartat1\levelspace0\levelindent0{\leveltext\'01\u-3913 ?;}{\levelnumbers;}\f3\fbias0 \s74\fi-360\li360\jclisttab\tx360 }{\listname ;}\listid-119}}{\*\listoverridetable{\listoverride\listid-120\listoverridecount0\ls1}{\listoverride\listid-129\listoverridecount0\ls2}{\listoverride\listid-130\listoverridecount0\ls3}{\listoverride\listid-131\listoverridecount0\ls4}{\listoverride\listid-132\listoverridecount0\ls5}{\listoverride\listid-119\listoverridecount0\ls6}{\listoverride\listid-125\listoverridecount0\ls7}{\listoverride\listid-126\listoverridecount0\ls8}{\listoverride\listid-127\listoverridecount0\ls9}{\listoverride\listid-128\listoverridecount0\ls10}}{\*\revtbl {Unknown;}{ECooper;}}{\info{\title Document Layouts}{\author DCR?</w:t>
      </w:r>
      <w:r>
        <w:rPr>
          <w:rFonts w:eastAsia="Geneva" w:cs="Geneva" w:ascii="Geneva" w:hAnsi="Geneva"/>
          <w:color w:val="000000"/>
          <w:sz w:val="24"/>
          <w:szCs w:val="24"/>
        </w:rPr>
        <w:t xml:space="preserve">_????p_}{\operator ECooper}{\creatim\yr2000\mo2\dy15\hr17\min48}{\revtim\yr2000\mo2\dy15\hr17\min48}{\printim\yr2000\mo2\dy15\hr14\min22}{\version2}{\edmins0}{\nofpages18}{\nofwords6950}{\nofchars-32766}{\*\manager David Allen}{\*\company Slaughter and May}{\*\category Atlas II template}{\nofcharsws0}{\vern113}}{\*\userprops {\propname udp_BorderStyle}\proptype30{\staticval None}{\propname udp_Justified}\proptype11{\staticval 0}{\propname udp_Renumber}\proptype11{\staticval 0}{\propname udp_Class}\proptype30{\staticval SE}{\propname udp_Client}\proptype30{\staticval ENRON}{\propname udp_Matter}\proptype30{\staticval On-line Trading}{\propname udp_CMNumber}\proptype30{\staticval 214686/11161}{\propname udp_Layout}\proptype30{\staticval Slaughter and May 1}{\propname udp_DocID}\proptype30{\staticval CA003672721}{\propname udp_Typist}\proptype30{\staticval Dellow, Marilyn}{\propname udp_Author}\proptype30{\staticval GPXB}{\propname udp_Version}\proptype30{\staticval 16}{\propname udp_CatID}\proptype30{\staticval  }{\propname udp_Department}\proptype30{\staticval  }{\propname udp_IsAtlasDoc}\proptype11{\staticval 1}{\propname udp_TemplateVersion}\proptype30{\staticval 1.02.0001}}\paperw11907\paperh16840\margl1276\margr1275\margt1135\margb1418 \widowctrl\ftnbj\aenddoc\revisions\aftnnar\lytprtmet\hyphcaps0\formshade\viewkind1\viewscale117\viewzk2\pgbrdrhead\pgbrdrfoot \fet0{\*\ftnsep \pard\plain \sa280\sl280\slmult0\widctlpar\brdrb\brdrs\brdrw15\brsp20 \tx709\tx1418\tx2126\tx2835\tx3544\tx4253\tx4961\tx5670\tqr\tx8363\adjustright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}}{\*\ftnsepc \pard\plain \sa280\sl280\slmult0\widctlpar\tx709\tx1418\tx2126\tx2835\tx3544\tx4253\tx4961\tx5670\tqr\tx8363\adjustright \f66\fs20\lang2057\kerning16\cgrid {\chftnsepc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}}{\*\ftncn \pard\plain \sa280\sl280\slmult0\widctlpar\tx709\tx1418\tx2126\tx2835\tx3544\tx4253\tx4961\tx5670\tqr\tx8363\adjustright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}}\sectd \binfsxn11\binsxn11\linex0\endnhere\titlepg\sectdefaultcl {\header \pard\plain \s17\qc\sa280\sl280\slmult0\widctlpar\tx1418\tx2126\tx2835\tx3544\tqc\tx4253\tx4961\tx5670\tqr\tx8363\adjustright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}}{\footer \pard\plain \s18\qc\sa280\sl280\slmult0\widctlpar\tx1418\tx2126\tx2835\tx3544\tqc\tx4253\tx4961\tx5670\tqr\tx8306\adjustright \f66\fs12\lang2057\kerning16\cgrid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}}{\headerf \pard\plain \s17\sa280\sl280\slmult0\widctlpar\tx1418\tx2126\tx2835\tx3544\tqc\tx4253\tx4961\tx5670\tqr\tx8363\adjustright \f66\fs20\lang2057\kerning16\cgrid {\line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}}{\footerf \pard\plain \s18\qc\sa280\sl280\slmult0\widctlpar\tx1418\tx2126\tx2835\tx3544\tqc\tx4253\tx4961\tx5670\tqr\tx8306\adjustright \f66\fs12\lang2057\kerning16\cgrid {\field\fldlock{\*\fldinst {docproperty "udp_CMNumber"  \\* Mergeformat }}{\fldrslt {214686/11161}}}{  }{\field\fldlock{\*\fldinst {docproperty udp_DocID \\* Mergeformat }}{\fldrslt {CA003672721}}}{  }{\field\fldlock{\*\fldinst {docproperty "udp_Author"  \\* Mergeformat }}{\fldrslt {GPXB}}}{  }{\field\fldlock{\*\fldinst {date \\@ "ddMMyy:HHmm" \\* Mergeformat }}{\fldrslt {140200:2044}}}{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\qc\sa280\sl280\slmult0\widctlpar\tx709\tx1418\tx2126\tx2835\tx3544\tx4253\tx4961\tx5670\tqr\tx8363\adjustright \f66\fs20\lang2057\kerning16\cgrid {\b ENRON NORTH AMERICA CORP (\ldblquote Enron\rdblquote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GENERAL TERMS AND CONDITIONS (\ldblquote GTC\rdblquote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CREDIT PRODUCT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{1.\tab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{The parties shall engage in transactions on this website for the purchase and sale of the Credit Product (\ldblquote Transactions\rdblquote ) pursuant to these terms and conditions.  Transactions will be initiated by you (\ldblquote Counterparty\rdblquote ) offering to buy or sell the Credit Product by clicking on the designated boxes on the website.  This website is not, and shall not be construed as, an offer to buy or sell the Credit Product by Enron.  Enron may accept or reject Counterparty\rquote s offer at its sole discretion.  A Transaction shall be deemed executed at the time that Enron first signifies its acceptance of Counterparty\rquote s offer, accessible on the Enron website server.  The parties may also complete a written confirmation by way of record of the terms of each Transaction but in the event of any conflict Enron\rquote 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party agrees that it shall not enter into a Transaction where it or any of its Affiliates is the Reference Entity which is the subject of the Transaction and any such purported Transaction entered into by the parties shall be deemed void and unenforceable.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{2.\tab Representations and Warranties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of Enron and Counterparty represents and warrants to the other at the time each }{\deleted\revauthdel1\revdttmdel1178762255 t}{\revised\revauth1\revdttm1178762255 T}{ransaction is executed that (a)\~}{\ul Status and Capacity}{: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(b)\~}{\ul Authority}{: (i)\~the execution, delivery and performance of each Transaction has been duly authorised by all necessary corporate, governmental or other organisational action on its part; and (ii)\~each Transaction is its legally valid and binding obligation, enforceable against it in accordance with its terms; and (c)}{\ul Eligible Swap Participant}{: (i)\~it constitutes an \ldblquote eligible swap participant\rdblquote  as such term is defined in  Regulation 35.1(b)(2) of the United States Commodity Futures Trading Commission; and (ii)\~it is an \ldblquote accredited investor\rdblquote  as such term is defined in Rule 501 of Regulation D of the United States Securities and Exchange Commission; and (d)\~}{\ul Line of Business}{: (i)\~it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}{\deleted\revauthdel1\revdttmdel1178762240  }{options, it is a commercial user of, or merchant in, the commodity (i.e. credit risk) subject to each Transaction and it has entered into each Transaction solely for purposes related to its business as such; and (e)\~}{\ul No Reliance}{: (i) the other party to each Transaction (1) is not acting as a fiduciary or financial, investment or commodity trading advisor for it; and (2)\~has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(2)\~it is not relying upon any advice, counsel or representations (whether written or oral) of the other party other than the representations expressly set forth in this GTC or the ETA between the parties, or otherwise set out on this website; (3)\~it has made and will make its own assessment and decisions regarding the entering into of each Transaction based upon its own judgment and upon the advice from such professional advisors as it has deemed, or will deem, necessary to consult; (4)\~all of its decisions regarding each Transaction have been the result of arm\rquote s length negotiations between the parties; and (5) it has a full understanding of all the terms, conditions and risks (economic and otherwise) of each Transaction, and it is capable of assuming and willing to assume (financially, legally and otherwise) those risks.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\li709\sa280\sl280\slmult0\widctlpar\tx709\tx1418\tx2126\tx2835\tx3544\tx4253\tx4961\tx5670\tqr\tx8363\adjustright {Counterparty acknowledges, agrees and understands that: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{(A)\tab }{\deleted\revauthdel1\revdttmdel1178762240 ENRON\rquote 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COUNTERPARTY\rquote 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TRANSACTIONS.}{\revised\revauth1\revdttm1178762240  ENRON\rquote S PARTICIPATION IN TRANSACTIONS MAY INVOLVE CERTAIN ACTUAL OR POTENTIAL CONFLICTS OF INTEREST.}{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\qj\fi-720\li1429\sa280\sl280\slmult0\widctlpar\tx709\tx1418\tx2126\tx2835\tx3544\tx4253\tx4961\tx5670\tqr\tx8363\adjustright {(B)\tab 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{(C)\tab 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ENRON\rquote S INTERNAL POLICIES AND PROCEDURES, DUE TO MARKET CONDITIONS OR FOR OTHER REASONS.  UNDER SUCH CIRCUMSTANCES, COUNTERPARTY MAY BE UNABLE TO ENTER INTO NEW TRANSACTIONS IN CREDIT PRODUCTS OR CLOSE OUT EXISTING POSITIONS IN CREDIT PRODUCTS.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(D)\tab 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{3.\tab Payments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{4.\tab Collateral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\s86\qj\li720\sa280\sl280\slmult0\widctlpar\tx709\tx1418\tx2126\tx2835\tx3544\tx4253\tx4961\tx5670\tqr\tx8363\adjustright \f66\fs20\lang2057\kerning16\cgrid {Counterparty shall at Enron\rquote s request from time to time and at Enron\rquote s option either (a) within one Business Day of such request by Enron, provide to Enron a letter of credit in respect of Counterparty\rquote s obligations under any Transaction, in such form and for such amount and from such issuer as is acceptable to Enron in its absolute discretion; or (b) within such period as is specified by Enron, provide for the benefit of Enron a guarantee from a party in such form and for such amount as is acceptable to Enron in its absolute discretion.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{5.\tab Events of Default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\qj\li709\sa280\sl280\slmult0\widctlpar\tx720\tx1418\tx2126\tx2835\tx3540\tx4253\tx4961\tx5670\tqr\tx8363\adjustright \f66\fs20\lang2057\kerning16\cgrid {An event of default (\ldblquote Event of Default\rquote ) shall mean with respect to a party (the \ldblquote Defaulting Party\rdblquote )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creditors\rquote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}{\deleted\revauthdel1\revdttmdel1178762241 s}{\revised\revauth1\revdttm1178762241 S}{ection 4 on request by Enron or any default occurs under the terms of such letter of credit or guarantee.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obligation of each party under this GTC is subject to the condition precedent that no Event of Default in respect of the other party has occurred and is continuing.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{6.\tab Remedies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\qj\li720\sa280\sl280\slmult0\widctlpar\tx709\tx1418\tx2126\tx2835\tx3544\tx4253\tx4961\tx5670\tqr\tx8363\adjustright \f66\fs20\lang2057\kerning16\cgrid {If an Event of Default shall have occurred and shall be continuing, the non-defaulting party may in its sole discretion, by no more than 20 days\rquote  notice to the Defaulting Party, designate a day no earlier than the day such notice is effective as an early termination date (\ldblquote Early Termination Date\rdblquote ).  On the Early Termination Date, all obligations under all Transactions shall be terminated, except as provided below.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an Early Termination Date has been designated, the non-defaulting party shall in good faith calculate its Gains or Losses and Costs resulting from the termination of the parties\rquote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party\rquote 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party\rquote s aggregate Gains exceed its aggregate Losses and Costs, if any, the non-defaulting party shall, within ten Business Days of receipt of such notice, pay the net amount to the Defaulting Party.  For the purposes of the above: (a)\~\ldblquote Costs\rdblquote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\ldblquote Gains\rdblquote  shall mean, with respect to a party, an amount equal to the present value of the economic benefit, if any, (exclusive of Costs) to it resulting from the termination of its obligations with respect to a Transaction, determined in a commercially reasonable manner; and (c) \ldblquote Losses\rdblquote  shall mean an amount equal to the present value of the economic loss, if any, (exclusive of Costs) to it resulting from the termination of its obligations with respect to a Transaction, determined in a commercially reasonable manner.  }{\b NO PARTY SHALL BE REQUIRED TO PAY SPECIAL, EXEMPLARY, PUNITIVE, INCIDENTAL, CONSEQUENTIAL OR INDIRECT DAMAGES (WHETHER OR NOT ARISING FROM A PARTY\rquote 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{\b NOTHING IN THIS GTC SHALL HAVE THE EFFECT OF LIMITING OR RESTRICTING EITHER PARTY\rquote S LIABILITY ARISING AS A RESULT OF ITS FRAUD. ANY LIMITATIONS OR RESTRICTIONS ON THE LIABILITY OF EITHER PARTY IN THIS GTC SHALL ONLY APPLY TO THE EXTENT PERMITTED BY APPLICABLE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{7.\tab Set-off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set-}{\deleted\revauthdel1\revdttmdel1178762242 \tab }{off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{8.\tab Termination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\s87\qj\li709\sa280\sl280\slmult0\widctlpar\tx709\tx1418\tx2126\tx2835\tx3544\tx4253\tx4961\tx5670\tqr\tx8363\adjustright \f66\fs20\lang2057\kerning16\cgrid {The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{9.\tab Miscellaneous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effect}{\revised\revauth1\revdttm1178762243 ; for the avoidance of doubt, it shall not be unreasonable to withhold consent to a proposed transfer or assignment if on the next }{\revised\revauth1\revdttm1178762245 succeeding }{\revised\revauth1\revdttm1178762244 Payment Date}{\revised\revauth1\revdttm1178762245 , the non-transferring or non-assigning party will be required to gross up its payments to the proposed transferee or assignee or receive payments from the proposed transferee net of withho}{\revised\revauth1\revdttm1178762247 l}{\revised\revauth1\revdttm1178762245 ding }{\revised\revauth1\revdttm1178762246 or deduction that would not otherwise be required hereunder or under applicable law in the absence of the proposed assignment or transfer }{.  Enron may assign and/or transfer the whole or any part of its rights or obligations under any Transaction(s) and this GTC to one or more Affiliates.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The governing law and jurisdiction applicable to each Transaction and this GTC shall be determined according to paragraph 1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Enron and Counterparty agree that the words \ldblquote financial products,\rdblquote  shall be inserted in the sixth line of the first paragraph of the ETA after the words \ldblquote for the trading of products and instruments based on\rdblquote .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{10.\tab Notices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{All notices in connection with a Transaction may be given between 9.00\~a.m. and 4.00\~p.m.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4.00\~p.m. on a Business Day, it will be deemed to be delivered on the next following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{11.\tab Amendment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{12.\tab Taxes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{(A)\tab Payor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{In connection with making all payments under a Transaction, each party makes the following payor representation: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For the purposes of this representation, \ldblquote Relevant Jurisdiction\rdblquote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{(B)\tab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{In connection with receiving all payments under a Transaction, Counterparty makes the following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\qj\li1418\sa280\sl280\slmult0\widctlpar\tx709\tx1418\tx2126\tx2835\tx3544\tx4253\tx4961\tx5670\tqr\tx8363\adjustright {It is fully eligible for the benefits of the \ldblquote Business Profits\rdblquote  or \ldblquote Industrial and Commercial Profits\rdblquote  provision, as the case may be, the \ldblquote Interest\rdblquote  provision or the \ldblquote Other Income\rdblquote  provision (if any) of the Counterparty Residenc}{\revised\revauth1\revdttm1178762249 e}{\deleted\revauthdel1\revdttmdel1178762249 y}{ Treaty (if any) with respect to any payment described in such provisions and received or to be received by it in connection with the }{\deleted\revauthdel1\revdttmdel1178762248 0}{Transaction, and (unless the Counterparty Branch Jurisdiction (if any) or the Counterparty Residence Jurisdiction is the United }{\deleted\revauthdel1\revdttmdel1178762248 Kingdom}{\revised\revauth1\revdttm1178762248 States}{) no such payment is attributable to a trade or business carried on by it through a permanent establishment in the }{\deleted\revauthdel1\revdttmdel1178762248 United Kingdom }{\revised\revauth1\revdttm1178762248 States}{.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In connection with receiving all payments under a Transaction, Enron makes the following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It is fully eligible for the benefits of the \ldblquote Business Profits\rdblquote  or \ldblquote Industrial and Commercial Profits\rdblquote  provision, as the case may be, the \ldblquote Interest\rquote  provision or the \ldblquote Other Income\rdblquote  provision (if any) of the Counterparty Residence Treaty (if any) with respect to any payment described in such provisions and received or to be received by it in connection with the Transaction, and (unless the Counterparty Residence Jurisdiction is the United }{\deleted\revauthdel1\revdttmdel1178762249 Kingdom}{\revised\revauth1\revdttm1178762249 States}{) no such payment is attributable to a trade or business carried on by it through a permanent establishment in the Counterparty Residence Jurisdiction.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there is a Counterparty Branch Jurisdiction, it is fully eligible for the benefits of the \ldblquote Business Profits\rdblquote  or \ldblquote Industrial and Commercial Profits\rdblquote  provision, as the case may be, the \ldblquote Interest\rdblquote  provision or the \ldblquote Other Income\rdblquote  provision (if any) of the Counterparty Branch Treaty (if any) with respect to any payment described in such provision and received or to be received by it in connection with the Transaction, and (unless the Branch Jurisdiction is the United }{\deleted\revauthdel1\revdttmdel1178762249 Kingdom}{\revised\revauth1\revdttm1178762249 States}{) no such payment is attributable to a trade or business carried on by it through a permanent establishment in the Counterparty Branch Jurisdiction.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}{\i Branch Jurisdiction}{\rdblquote  means the jurisdiction (if any) specified as such by the parties to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Branch Treaty}{\rdblquote  means the income tax treaty between the United States and the Branch Jurisdiction provided that, where there is no such treaty, there shall be no Counterparty Branch Treaty.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Residence Treaty}{\rdblquote  means the income tax treaty between the United }{\deleted\revauthdel1\revdttmdel1178762249 Kingdom  }{\revised\revauth1\revdttm1178762249 States }{and the Counterparty Residence Jurisdiction provided that, where there is no such treaty, there shall be no Counterparty Residence Treaty.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Residence Jurisdiction}{\rdblquote  means the jurisdiction specified as such by the parties to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{(C)\tab Changes in Representation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{If any representation made under this Section becomes untrue or inaccurate during the term of a Transaction, the party whose representation has changed shall promptly give the other party written notice of such change.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{(D)\tab Withholding Tax Exemption Form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{Upon request, each party shall provide the other with }{\revised\revauth1\revdttm1178762294 (or if a party has assigned its rights hereunder, procure the provision of) }{a properly completed and executed exemption form, certificate or other document that will allow the other party to make any payment hereunder without deduction or withholding for Tax, including, but not limited to, the United States }{\deleted\revauthdel1\revdttmdel1178762250 Inland }{\revised\revauth1\revdttm1178762250 Internal }{Revenue }{\revised\revauth1\revdttm1178762250 Service }{Form W-8}{\deleted\revauthdel1\revdttmdel1178762250  and }{\revised\revauth1\revdttm1178762250 , }{1001 }{\revised\revauth1\revdttm1178762250 and/or 4224 }{and }{\revised\revauth1\revdttm1178762250 appropriate }{successor forms}{\revised\revauth1\revdttm1178762250  thereto}{.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{(E)\tab Gross Up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(\ldblquote X\rdblquote ) will: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Promptly notify the other party (\ldblquote Y\rdblquote ) of such requirement;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Promptly forward to Y an official receipt (or certified copy thereof) or other documentation reasonably acceptable to Y evidencing such payment to such authorities;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(iv)\tab 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{(F)\tab Liability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X is required by any applicable law, as modified by the practice of any relevant governmental revenue authority, to make any deduction or withholding for or on account of any Tax in respect of which X would not be required to pay an additional amount to Y under subsection (E)(iv);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X does not so deduct or withhold;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{(G)\tab Change in Tax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{If, as a result of a Change in Tax Law, Counterparty or Enron will, or there is a substantial likelihood that it will, on the next succeeding payment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Be required to pay to the other party an additional amount in respect of an Indemnifiable Tax (except in respect of any interest payable under the Transaction);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(b))}{\revised\revauth1\revdttm1178762250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\s4\qj\li1418\sa280\sl280\slmult0\widctlpar\tx1418\tx2138\tx2835\tx3544\tx4253\tx4961\tx5670\tqr\tx8363\outlinelevel3\pnrnot1\adjustright {\deleted\revauthdel1\revdttmdel1178762251  }{then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{(H)\tab Miscellaneous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{13.\tab Currency Provisions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{14.\tab General Definitions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\qj\li709\sa280\sl280\slmult0\keepn\widctlpar\tx709\tx1418\tx2126\tx2835\tx3544\tx4253\tx4961\tx5670\tqr\tx8363\adjustright \f66\fs20\lang2057\kerning16\cgrid {As used in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\li720\sa280\sl280\slmult0\widctlpar\tx709\tx1418\tx2126\tx2835\tx3544\tx4253\tx4961\tx5670\tqr\tx8363\adjustright {\ldblquote }{\i Affiliate}{\rdblquote  shall mean: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\s5\qj\fi-709\li1418\sa280\sl280\slmult0\widctlpar\tx1418\tx2126\tx3119\tx3544\tx4253\tx4961\tx5670\tqr\tx8363\outlinelevel4\adjustright \f66\fs20\lang2057\kerning16\cgrid {(a)\tab in relation to any party, any entity, directly or indirectly in the Control of the party, any entity that Controls, directly or indirectly, the party or any entity directly or indirectly under common Control with the party;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(b)\tab in relation to Enron, any entity, whether or not under the Control of Enron or under the Control of any entity falling within paragraph (a) above, established by Enron and/or or any entity falling within paragraph (a) above in connection with a financing transaction (including, without limitation, any monetisation, securitisation or sub-participation of Enron\rquote s rights and/or obligations under any or all of the Transactions entered into pursuant to this GTC).}{\strike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\s5\fi-709\li1418\sa280\sl280\slmult0\widctlpar\tx1418\tx2126\tx3119\tx3544\tx4253\tx4961\tx5670\tqr\tx8363\outlinelevel4\adjustright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\qj\li709\sa280\sl280\slmult0\keepn\widctlpar\tx709\tx1418\tx2126\tx2835\tx3544\tx4253\tx4961\tx5670\tqr\tx8363\adjustright \f66\fs20\lang2057\kerning16\cgrid {\i \ldblquote Bankruptcy Event\rdblquote }{ shall mean: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 \tab the Reference Entity is dissolved (other than pursuant to a consolidation, amalgamation or merger);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the Reference Entity makes a general assignment, arrangement or composition with or for the benefit of its creditors;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 \tab the Reference Entity institutes with respect to itself or has instituted against it a proceeding seeking a judgement of insolvency or bankruptcy or any other relief under any bankruptcy or insolvency law or other similar law affecting creditors\rquote  rights, or a petition is presented for its winding-up or liquidation, and, in the case of any such proceeding or petition instituted or presented against it, such proceeding or petition: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\qj\fi-709\li2127\sa280\sl280\slmult0\widctlpar\tx709\tx1418\tx2126\tx2835\tx3544\tx4253\tx4961\tx5670\tqr\tx8363\adjustright {(a)\tab results in a judgement of insolvency or bankruptcy or the entry of an order for relief or the making of an order for its winding-up or liquidation;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(b)\tab is not dismissed, discharged, stayed or restrained, in each case within 30 days of the institution or presentation thereof;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{(iv) \tab the Reference Entity has a resolution passed for its winding-up, official management or liquidation (other than pursuant to a consolidation, amalgamation or merger);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 \tab the Reference Entity seeks or becomes subject to the appointment of an administrator, provisional liquidator, conservator, receiver, trustee, custodian or other similar official for it or for all or substantially all its assets;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 \tab 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(vii) \tab the Reference Entity causes or is subject to any event with respect to it which, under the applicable laws of any jurisdiction, has an analogous effect to any of the events specified in clauses (i) to (vi) (inclusive);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(viii) \tab takes any action in furtherance of, or indicating its consent to, approval of, or acquiescence in, any of the foregoing acts.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{\i \ldblquote Bankruptcy Event Notice\rdblquote }{ shall mean an irrevocable notice delivered by one party to the other  that describes in reasonable detail a Bankruptcy Event occurring on or after the Effective Date and on or before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Business Day\rdblquote  }{shall have the meaning set out in Paragraph\~2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Buyer\rdblquote }{ shall mean the purchaser of the Credit Product in respect of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Buyer Payment\rdblquote }{ shall mean the amount to be paid on each Buyer Payment Date by the Buyer to the Seller to purchase the Credit Product pursuant to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\qj\li709\sa280\sl280\slmult0\keepn\widctlpar\tx709\tx1418\tx2126\tx2835\tx3544\tx4253\tx4961\tx5670\tqr\tx8363\adjustright {\i \ldblquote Buyer Payment Date\rdblquote }{ shall mean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{(i)\tab in respect of the first payment, the first Quarter Day falling after the Effective Date for that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in respect of the second and each subsequent payment, each Quarter Day falling before the Scheduled Termination Date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in respect of the final payment,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{\i \ldblquote Change in Tax Law\rdblquote  }{shall mean any proposed or final rulemaking published by a taxing authority, or a final decision of a court of competent jurisdiction, after the }{\deleted\revauthdel1\revdttmdel1178762251 [date hereof] [}{Trade Date of the relevant Transaction}{\deleted\revauthdel1\revdttmdel1178762251 ]}{ (regardless of whether}{\b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}{\deleted\revauthdel1\revdttmdel1178762251 [date hereof] [}{Trade date of the relevant Transaction}{\deleted\revauthdel1\revdttmdel1178762251 ]}{.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Contract Currency\rdblquote }{ shall mean the currency in which the Buyer Payments and Seller Payment shall be made in respect of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Control\rdblquote }{ shall mean in respect of an entity the right to exercise more than 50 per cent. of the voting power in that entity and control shall be deemed to exist through (a) the direct or indirect ownership of 50 per cent}{\deleted\revauthdel1\revdttmdel1178762252 .}{ or more of the nominal value of the equity or issued share capital or of the shares or of 50 per cent}{\deleted\revauthdel1\revdttmdel1178762252 .}{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}{\i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Credit Product\rdblquote }{ shall mean in respect of a Transaction the credit protection which the parties to such Transaction buy or sell in respect of the  Reference Entity the subject of such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Derivative Transaction\rdblquote }{ shall mean any swap, option or other financially-settled derivative transaction between the parties (but, for the avoidance of doubt, shall not include any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Determination Agent\rdblquote }{ shall mean Enron.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Effective Date\rdblquote }{ shall mean 12.01 a.m.  on the date falling two Months after the Trade Date.}{\strike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}{\deleted\revauthdel1\revdttmdel1178762252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ETA\rdblquote }{ shall mean the electronic trading agreement (as amended or modified) entered into by the parties in respect of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Indemnifiable Tax\rdblquote }{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Interest Rate\rdblquote }{ shall mean (a) with respect to a non-defaulting party, a per annum rate of interest equal to the one month USD LIBOR as published as of 11.00\~a.m. (London Time) by Barclays Bank PLC, and (b) with respect to a Defaulting Party, a per annum rate of interest equal to three percent (3%) over such rate; provided, however, in either case the Interest Rate may never exceed the maximum lawful rate under applicable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Month}{\rdblquote  shall mean calendar month.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Notice of Publicly Available Information\rdblquote }{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}{\i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Payment Date\rdblquote }{ shall mean each of the Buyer Payment Date or the Seller Payment Date or both such dates as the context may require.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Publicly Available Information\rdblquote }{ shall mean information that reasonably confirms any of the assertions made in a Bankruptcy Event Notice and that has been published in or on (a)\~not less than two of the following news sources (and any of their successor news sources): Bloomberg Service, Dow Jones Telerate Service, Reuter Monitor Money Rates Services, Dow Jones News Wire, Wall Street Journal, New York Times, Financial Times or (b)\~any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Quarter Day}{\rdblquote  shall mean the last Business Day in March, June, September and December.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Reference Entity\rdblquote }{ shall mean the entity in respect of which the Credit Product is being bought and sold as set out on this website and recorded in Enron\rquote s electronic records in respect of a Transaction and any Successor.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Scheduled Termination Date\rdblquote }{ shall mean in respect of a Transaction 12.01 a.m. on the scheduled termination date set out on this website and recorded in Enron\rquote s electronic records in respect of the  Transaction or, if that day is not a Business Day, the immediately preceding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Seller\rdblquote }{ shall mean the Seller of the Credit Product as set out on this website and recorded in Enron\rquote s electronic records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 Payment\rdblquote }{ shall mean the amount to be paid by the Seller in accordance with the terms of the GTC following the occurrence of a Bankruptcy Event as set out on this website and recorded in Enron\rquote s electronic records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 Payment Date\rdblquote }{ shall mean the date falling five Business Days after the date on which  a valid Bankruptcy Event Notice and a Notice of Publicly Available Information is delivered by one party to the other.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Successor\rdblquote }{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Tax\rdblquote }{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Trade Date\rdblquote  }{shall mean the date the parties enter into a Transaction as set out on this website and recorded in Enron\rquote s electronic records in respect of that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References in this GTC to times are to the times set out in Paragraph\~3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References in this GTC to any statutes or other legislation are to such statutes or legislation as amended, modified, replaced or re-enacted from time to time.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\s16\qc\sa280\sl280\slmult0\keepn\widctlpar\tx709\tx1418\tx2126\tx2835\tx3544\tx4253\tx4961\tx5670\tqr\tx8363\adjustright \b\f66\fs20\lang2057\kerning16\cgrid {\page SCHEDULE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\qc\sa280\sl280\slmult0\widctlpar\tx709\tx1418\tx2126\tx2835\tx3544\tx4253\tx4961\tx5670\tqr\tx8363\adjustright \f66\fs20\lang2057\kerning16\cgrid {\b Amendments to the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{\b0 1.\tab }{Governing law and jurisdiction}{\b0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{\b 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 Where the Counterparty to a Transaction is incorporated or organised in the United\~Stated or Canada, the Transaction and this GTC shall be governed by, interpreted and construed in accordance with the laws of the State of New\~York and each party agrees to submit to the non-exclusive jurisdiction of the Courts of New\~York and waives any claim that any proceedings brought in such courts have been brought in an inconvenient forum.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{2.\tab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{Where Counterparty to a Transaction is incorporated or organised outside of the United\~States or Canada, \ldblquote }{\i Business Day}{\rdblquote  shall mean a day (other than a Saturday or a Sunday) on which commercial banks are open for domestic business in London.  Where Counterparty to a Transaction is incorporated or organised in the United\~States or Canada, \ldblquote }{\i Business Day}{\rdblquote  shall mean a day (other than a Saturday or a Sunday) on which commercial banks are open for domestic business in New\~York.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{\b0 3.\tab }{Times}{\b0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\qj\li709\sa280\sl280\slmult0\widctlpar\tx709\tx2126\tx2835\tx3544\tx4253\tx4961\tx5670\tqr\tx8363\adjustright \f66\fs20\lang2057\kerning16\cgrid {Where Counterparty to a Transaction is incorporated or organised outside of the United\~States or Canada, references to times shall be construed as references to London time.  Where Counterparty to a Transaction is incorporated or organised in the United\~States or Canada, references to time shall be construed as references to Central Standard Time in the United\~States.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{4.\tab Exclusion of third party rights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\s22\qj\fi-709\li709\sa280\sl280\slmult0\widctlpar\tx709\tx1418\tx2126\tx2835\tx3544\tx4253\tx4961\tx5670\tqr\tx8363\adjustright \f66\fs20\lang2057\kerning16\cgrid {\tab Where pursuant to Paragraph 1 of this Schedule this GTC is to be governed by the laws of England, the parties do not intend that any term of this GTC should be enforceable, by virtue of the Contracts (Rights of Third Parties) Act 1999, by any person who is not a party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{5.\tab Event of default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{Where Counterparty to a Transaction is incorporated or organised in Germany: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\s5\qj\fi-709\li1418\sa280\sl280\slmult0\widctlpar\tx1418\tx2126\tx3544\tx4253\tx4961\tx5670\tqr\tx8363\outlinelevel4\adjustright \f66\fs20\lang2057\kerning16\cgrid {(a)\tab the words \ldblquote save that, upon the occurrence of an Event of Default specified in Section 5(d), an Early Termination Date shall automatically be designated as the date of occurrence of the Event of Default\rdblquote  shall be inserted at the end of the first sentence of the first paragraph of Section 6;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\s5\qj\fi-851\li1560\sa280\sl280\slmult0\widctlpar\tx1418\tx2126\tx3544\tx4253\tx4961\tx5670\tqr\tx8363\outlinelevel4\adjustright {(b)\tab the third sentence of Section 7 shall be deleted.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\s5\fi-851\li1560\sa280\sl280\slmult0\widctlpar\tx1418\tx2126\tx3544\tx4253\tx4961\tx5670\tqr\tx8363\outlinelevel4\adjustright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