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160" w:end="0"/>
        <w:jc w:val="start"/>
        <w:rPr>
          <w:b/>
        </w:rPr>
      </w:pPr>
      <w:r>
        <w:rPr>
          <w:b/>
        </w:rPr>
        <w:t>MEMORANUDUM</w:t>
      </w:r>
    </w:p>
    <w:p>
      <w:pPr>
        <w:pStyle w:val="Normal"/>
        <w:ind w:start="2160" w:end="0"/>
        <w:rPr>
          <w:b/>
        </w:rPr>
      </w:pPr>
      <w:r>
        <w:rPr>
          <w:b/>
        </w:rPr>
      </w:r>
    </w:p>
    <w:p>
      <w:pPr>
        <w:pStyle w:val="Normal"/>
        <w:rPr/>
      </w:pPr>
      <w:r>
        <w:rPr/>
        <w:t>To:</w:t>
        <w:tab/>
        <w:tab/>
        <w:tab/>
        <w:tab/>
        <w:t>C. Stephen Howard</w:t>
      </w:r>
    </w:p>
    <w:p>
      <w:pPr>
        <w:pStyle w:val="Normal"/>
        <w:rPr/>
      </w:pPr>
      <w:r>
        <w:rPr/>
      </w:r>
    </w:p>
    <w:p>
      <w:pPr>
        <w:pStyle w:val="Normal"/>
        <w:rPr/>
      </w:pPr>
      <w:r>
        <w:rPr/>
        <w:t>From:</w:t>
        <w:tab/>
        <w:tab/>
        <w:tab/>
        <w:tab/>
        <w:t>F. Gerard McGrath</w:t>
      </w:r>
    </w:p>
    <w:p>
      <w:pPr>
        <w:pStyle w:val="Normal"/>
        <w:rPr/>
      </w:pPr>
      <w:r>
        <w:rPr/>
      </w:r>
    </w:p>
    <w:p>
      <w:pPr>
        <w:pStyle w:val="Normal"/>
        <w:rPr/>
      </w:pPr>
      <w:r>
        <w:rPr/>
        <w:t>Date:</w:t>
        <w:tab/>
        <w:tab/>
        <w:tab/>
        <w:tab/>
        <w:t>April 30, 2001</w:t>
      </w:r>
    </w:p>
    <w:p>
      <w:pPr>
        <w:pStyle w:val="Normal"/>
        <w:rPr/>
      </w:pPr>
      <w:r>
        <w:rPr/>
      </w:r>
    </w:p>
    <w:p>
      <w:pPr>
        <w:pStyle w:val="Normal"/>
        <w:rPr/>
      </w:pPr>
      <w:r>
        <w:rPr/>
        <w:t>Subject:</w:t>
        <w:tab/>
        <w:tab/>
        <w:tab/>
        <w:t>Issues and Questions for Conference Call</w:t>
      </w:r>
    </w:p>
    <w:p>
      <w:pPr>
        <w:pStyle w:val="Normal"/>
        <w:rPr>
          <w:u w:val="single"/>
        </w:rPr>
      </w:pPr>
      <w:r>
        <w:rPr>
          <w:u w:val="single"/>
        </w:rPr>
      </w:r>
    </w:p>
    <w:p>
      <w:pPr>
        <w:pStyle w:val="Normal"/>
        <w:rPr/>
      </w:pPr>
      <w:r>
        <w:rPr/>
        <w:tab/>
        <w:t xml:space="preserve">We need to schedule a conference call with Brian and Kevin to cover the matters addressed below relating to the adequacy of funding and the status of the mill.  For the first of these matters, I want have the NSM model open during this call so that I can review certain sections of it with Brian. </w:t>
      </w:r>
    </w:p>
    <w:p>
      <w:pPr>
        <w:pStyle w:val="Normal"/>
        <w:rPr/>
      </w:pPr>
      <w:r>
        <w:rPr/>
      </w:r>
    </w:p>
    <w:p>
      <w:pPr>
        <w:pStyle w:val="Normal"/>
        <w:ind w:firstLine="720" w:end="0"/>
        <w:rPr/>
      </w:pPr>
      <w:r>
        <w:rPr>
          <w:rFonts w:eastAsia="Century Schoolbook"/>
        </w:rPr>
        <w:t xml:space="preserve"> </w:t>
      </w:r>
      <w:r>
        <w:rPr/>
        <w:t xml:space="preserve">In addition, I want to again review the elements of ECT's due diligence review cited in my report (pages 15 to 24) so that I have a better understanding of ECT's specific due diligence actions.  As an example, page 17, "NSM Facilities" item [a] – what exactly did ECT do to compare NSM's projected schedule and results to comparable plants?  </w:t>
      </w:r>
    </w:p>
    <w:p>
      <w:pPr>
        <w:pStyle w:val="Normal"/>
        <w:rPr>
          <w:u w:val="single"/>
        </w:rPr>
      </w:pPr>
      <w:r>
        <w:rPr>
          <w:u w:val="single"/>
        </w:rPr>
      </w:r>
    </w:p>
    <w:p>
      <w:pPr>
        <w:pStyle w:val="Normal"/>
        <w:rPr>
          <w:u w:val="single"/>
        </w:rPr>
      </w:pPr>
      <w:r>
        <w:rPr>
          <w:u w:val="single"/>
        </w:rPr>
        <w:t>Hellmold and Cobb Funding Insufficiency Issue</w:t>
      </w:r>
    </w:p>
    <w:p>
      <w:pPr>
        <w:pStyle w:val="Normal"/>
        <w:rPr/>
      </w:pPr>
      <w:r>
        <w:rPr/>
        <w:tab/>
        <w:t>The Reports of Hellmold and Cobb argue that NSM had an undisclosed insufficiency of funding at Closing.  In his deposition, Hellmold asserts NSM was insolvent from the get-go.</w:t>
      </w:r>
    </w:p>
    <w:p>
      <w:pPr>
        <w:pStyle w:val="Normal"/>
        <w:tabs>
          <w:tab w:val="left" w:pos="720" w:leader="none"/>
          <w:tab w:val="left" w:pos="810" w:leader="none"/>
        </w:tabs>
        <w:rPr/>
      </w:pPr>
      <w:r>
        <w:rPr/>
      </w:r>
    </w:p>
    <w:p>
      <w:pPr>
        <w:pStyle w:val="Normal"/>
        <w:tabs>
          <w:tab w:val="left" w:pos="720" w:leader="none"/>
          <w:tab w:val="left" w:pos="810" w:leader="none"/>
        </w:tabs>
        <w:rPr/>
      </w:pPr>
      <w:r>
        <w:rPr/>
        <w:tab/>
        <w:t xml:space="preserve">Their major point is that – per the OM – NSM took in $463 million, immediately disbursed $275 million*, leaving a cash balance of $188 million to cover $175 million of projected cap ex; but, in fact, actual closing disbursements were $25 million greater than projected, reducing the cash balance to $163 million.  The resulting negative $12 million is the basis of their funding insufficiency assertions. </w:t>
      </w:r>
    </w:p>
    <w:p>
      <w:pPr>
        <w:pStyle w:val="Normal"/>
        <w:tabs>
          <w:tab w:val="left" w:pos="720" w:leader="none"/>
          <w:tab w:val="left" w:pos="810" w:leader="none"/>
        </w:tabs>
        <w:ind w:start="720" w:end="0"/>
        <w:rPr/>
      </w:pPr>
      <w:r>
        <w:rPr>
          <w:sz w:val="26"/>
        </w:rPr>
        <w:t xml:space="preserve">* </w:t>
      </w:r>
      <w:r>
        <w:rPr>
          <w:sz w:val="20"/>
        </w:rPr>
        <w:t>The scheduled closing disbursements of $275 million included: $44 million in deal-related expenses, $58 million to Thai banks, $71 million to the Debt Service Reserve account, and $102 million to vendors for construction payables.  The post-closing additions were $10 million of added interest to the Thai banks and $15 million of added deal fees, payments to related parties and undisclosed payments to SDI.</w:t>
      </w:r>
    </w:p>
    <w:p>
      <w:pPr>
        <w:pStyle w:val="Normal"/>
        <w:tabs>
          <w:tab w:val="left" w:pos="720" w:leader="none"/>
          <w:tab w:val="left" w:pos="810" w:leader="none"/>
        </w:tabs>
        <w:rPr>
          <w:sz w:val="20"/>
        </w:rPr>
      </w:pPr>
      <w:r>
        <w:rPr>
          <w:sz w:val="20"/>
        </w:rPr>
      </w:r>
    </w:p>
    <w:p>
      <w:pPr>
        <w:pStyle w:val="Normal"/>
        <w:tabs>
          <w:tab w:val="left" w:pos="720" w:leader="none"/>
          <w:tab w:val="left" w:pos="810" w:leader="none"/>
        </w:tabs>
        <w:rPr/>
      </w:pPr>
      <w:r>
        <w:rPr/>
        <w:tab/>
        <w:t xml:space="preserve">What Cobb and Hellmold appear to have missed is that the remaining capital expenditures are greater than $175 million because $31 million of interest is capitalized, rather than expensed, and is recorded on the balance sheet as PP&amp;E (see model's CF, lines 23-25, and BS, line 107).  This is why the OM (page 53) shows $308 million of total cap ex in 1998 and 1999, not the $277 million shown in the Sources and Uses section (page 38).  As a result, the remaining cap ex expands from $175 million to $206 million and could further increase to$216 million if, as Cobb asserts (page 13 of his report), the $102 million of construction payables due at closing included $10 million of late charges and only $92 million of vendor payments.  </w:t>
      </w:r>
    </w:p>
    <w:p>
      <w:pPr>
        <w:pStyle w:val="Normal"/>
        <w:tabs>
          <w:tab w:val="left" w:pos="720" w:leader="none"/>
          <w:tab w:val="left" w:pos="810" w:leader="none"/>
        </w:tabs>
        <w:rPr/>
      </w:pPr>
      <w:r>
        <w:rPr/>
      </w:r>
    </w:p>
    <w:p>
      <w:pPr>
        <w:pStyle w:val="Normal"/>
        <w:ind w:firstLine="720" w:end="0"/>
        <w:rPr/>
      </w:pPr>
      <w:r>
        <w:rPr/>
        <w:tab/>
        <w:t>Accordingly, the deficiency between the post-closing cash balance of $163 million and the remaining capital expenditures becomes $43 to $53 million, not $12 million.  ECT may be able to argue that it was not a party to, or informed of, the $15 million of fees and tax reimbursements included in the undisclosed $25 million of added post-closing expenses and, therefore, its post-closing analysis of funding adequacy was based on a cash balance of $178 million.</w:t>
      </w:r>
    </w:p>
    <w:p>
      <w:pPr>
        <w:pStyle w:val="Normal"/>
        <w:ind w:firstLine="720" w:end="0"/>
        <w:rPr/>
      </w:pPr>
      <w:r>
        <w:rPr/>
      </w:r>
    </w:p>
    <w:p>
      <w:pPr>
        <w:pStyle w:val="Normal"/>
        <w:ind w:firstLine="720" w:end="0"/>
        <w:rPr/>
      </w:pPr>
      <w:r>
        <w:rPr/>
        <w:t>The amounts shown below are taken from the model's CF, lines 20-25, and BS, lines 36-39 and 132, and the OM's description of the DSR:</w:t>
      </w:r>
    </w:p>
    <w:p>
      <w:pPr>
        <w:pStyle w:val="Normal"/>
        <w:rPr/>
      </w:pPr>
      <w:r>
        <w:rPr/>
      </w:r>
    </w:p>
    <w:p>
      <w:pPr>
        <w:pStyle w:val="Normal"/>
        <w:rPr/>
      </w:pPr>
      <w:r>
        <w:rPr/>
        <w:tab/>
        <w:tab/>
        <w:tab/>
        <w:tab/>
        <w:tab/>
        <w:tab/>
        <w:tab/>
        <w:tab/>
        <w:t xml:space="preserve"> </w:t>
      </w:r>
      <w:r>
        <w:rPr>
          <w:u w:val="single"/>
        </w:rPr>
        <w:t>1998</w:t>
      </w:r>
      <w:r>
        <w:rPr/>
        <w:tab/>
        <w:tab/>
      </w:r>
      <w:r>
        <w:rPr>
          <w:u w:val="single"/>
        </w:rPr>
        <w:t>1999</w:t>
      </w:r>
    </w:p>
    <w:p>
      <w:pPr>
        <w:pStyle w:val="Normal"/>
        <w:rPr/>
      </w:pPr>
      <w:r>
        <w:rPr/>
        <w:tab/>
        <w:tab/>
        <w:tab/>
        <w:tab/>
        <w:tab/>
        <w:tab/>
        <w:tab/>
        <w:tab/>
        <w:t xml:space="preserve">  - - in millions - - </w:t>
      </w:r>
    </w:p>
    <w:p>
      <w:pPr>
        <w:pStyle w:val="Normal"/>
        <w:rPr/>
      </w:pPr>
      <w:r>
        <w:rPr/>
        <w:t>Net cash flows (used) by operations</w:t>
        <w:tab/>
        <w:tab/>
        <w:tab/>
        <w:t>($101)</w:t>
        <w:tab/>
        <w:tab/>
        <w:t>($13)</w:t>
      </w:r>
    </w:p>
    <w:p>
      <w:pPr>
        <w:pStyle w:val="Normal"/>
        <w:rPr/>
      </w:pPr>
      <w:r>
        <w:rPr/>
      </w:r>
    </w:p>
    <w:p>
      <w:pPr>
        <w:pStyle w:val="Normal"/>
        <w:rPr/>
      </w:pPr>
      <w:r>
        <w:rPr/>
        <w:t>Capital Expenditures (inc. cap. int.)</w:t>
        <w:tab/>
        <w:tab/>
        <w:tab/>
        <w:t>($263)</w:t>
        <w:tab/>
        <w:tab/>
        <w:t>($45)</w:t>
      </w:r>
    </w:p>
    <w:p>
      <w:pPr>
        <w:pStyle w:val="Normal"/>
        <w:rPr/>
      </w:pPr>
      <w:r>
        <w:rPr/>
        <w:t>less:</w:t>
        <w:tab/>
        <w:t>Construction Payables paid at closing</w:t>
        <w:tab/>
        <w:tab/>
        <w:t xml:space="preserve">   </w:t>
      </w:r>
      <w:r>
        <w:rPr>
          <w:u w:val="single"/>
        </w:rPr>
        <w:t>102*</w:t>
      </w:r>
      <w:r>
        <w:rPr/>
        <w:tab/>
        <w:tab/>
        <w:t xml:space="preserve">   - -</w:t>
      </w:r>
    </w:p>
    <w:p>
      <w:pPr>
        <w:pStyle w:val="Normal"/>
        <w:rPr/>
      </w:pPr>
      <w:r>
        <w:rPr/>
        <w:t>Remaining Cap. Ex.</w:t>
        <w:tab/>
        <w:tab/>
        <w:tab/>
        <w:tab/>
        <w:tab/>
        <w:t>($161)</w:t>
        <w:tab/>
        <w:tab/>
        <w:t>($45)</w:t>
      </w:r>
    </w:p>
    <w:p>
      <w:pPr>
        <w:pStyle w:val="Normal"/>
        <w:rPr/>
      </w:pPr>
      <w:r>
        <w:rPr/>
      </w:r>
    </w:p>
    <w:p>
      <w:pPr>
        <w:pStyle w:val="Normal"/>
        <w:rPr/>
      </w:pPr>
      <w:r>
        <w:rPr/>
        <w:t>Total Funding Requirements</w:t>
        <w:tab/>
        <w:tab/>
        <w:tab/>
        <w:tab/>
        <w:t>($262)</w:t>
        <w:tab/>
        <w:tab/>
        <w:t>($58)</w:t>
      </w:r>
    </w:p>
    <w:p>
      <w:pPr>
        <w:pStyle w:val="Normal"/>
        <w:rPr/>
      </w:pPr>
      <w:r>
        <w:rPr/>
      </w:r>
    </w:p>
    <w:p>
      <w:pPr>
        <w:pStyle w:val="Normal"/>
        <w:rPr/>
      </w:pPr>
      <w:r>
        <w:rPr/>
        <w:t>Funded by:</w:t>
      </w:r>
    </w:p>
    <w:p>
      <w:pPr>
        <w:pStyle w:val="Normal"/>
        <w:rPr/>
      </w:pPr>
      <w:r>
        <w:rPr/>
        <w:tab/>
        <w:t>Working Capital Facility</w:t>
        <w:tab/>
        <w:tab/>
        <w:tab/>
        <w:tab/>
        <w:t xml:space="preserve"> $  61</w:t>
        <w:tab/>
        <w:tab/>
        <w:t xml:space="preserve"> $ - -</w:t>
      </w:r>
    </w:p>
    <w:p>
      <w:pPr>
        <w:pStyle w:val="Normal"/>
        <w:rPr/>
      </w:pPr>
      <w:r>
        <w:rPr/>
        <w:tab/>
        <w:t>DSR</w:t>
        <w:tab/>
        <w:tab/>
        <w:tab/>
        <w:tab/>
        <w:tab/>
        <w:tab/>
        <w:tab/>
        <w:t xml:space="preserve">     </w:t>
      </w:r>
      <w:r>
        <w:rPr>
          <w:u w:val="single"/>
        </w:rPr>
        <w:t>45</w:t>
      </w:r>
      <w:r>
        <w:rPr/>
        <w:tab/>
        <w:tab/>
        <w:t xml:space="preserve">   </w:t>
      </w:r>
      <w:r>
        <w:rPr>
          <w:u w:val="single"/>
        </w:rPr>
        <w:t>26</w:t>
      </w:r>
    </w:p>
    <w:p>
      <w:pPr>
        <w:pStyle w:val="Normal"/>
        <w:rPr/>
      </w:pPr>
      <w:r>
        <w:rPr/>
        <w:tab/>
        <w:t>Total</w:t>
        <w:tab/>
        <w:tab/>
        <w:tab/>
        <w:tab/>
        <w:tab/>
        <w:tab/>
        <w:tab/>
        <w:t xml:space="preserve"> $106</w:t>
        <w:tab/>
        <w:tab/>
        <w:t xml:space="preserve"> $26</w:t>
      </w:r>
    </w:p>
    <w:p>
      <w:pPr>
        <w:pStyle w:val="Normal"/>
        <w:rPr/>
      </w:pPr>
      <w:r>
        <w:rPr/>
      </w:r>
    </w:p>
    <w:p>
      <w:pPr>
        <w:pStyle w:val="Normal"/>
        <w:rPr/>
      </w:pPr>
      <w:r>
        <w:rPr/>
        <w:t>Amount to be funded by the cash balance</w:t>
        <w:tab/>
        <w:tab/>
        <w:t>($156)</w:t>
        <w:tab/>
        <w:tab/>
        <w:t>($32)</w:t>
      </w:r>
    </w:p>
    <w:p>
      <w:pPr>
        <w:pStyle w:val="Normal"/>
        <w:rPr/>
      </w:pPr>
      <w:r>
        <w:rPr/>
      </w:r>
    </w:p>
    <w:p>
      <w:pPr>
        <w:pStyle w:val="Normal"/>
        <w:rPr/>
      </w:pPr>
      <w:r>
        <w:rPr/>
        <w:tab/>
        <w:tab/>
        <w:tab/>
        <w:tab/>
        <w:tab/>
        <w:tab/>
        <w:t xml:space="preserve">         </w:t>
      </w:r>
      <w:r>
        <w:rPr>
          <w:u w:val="single"/>
        </w:rPr>
        <w:t xml:space="preserve">   </w:t>
      </w:r>
      <w:r>
        <w:rPr>
          <w:sz w:val="20"/>
          <w:u w:val="single"/>
        </w:rPr>
        <w:t xml:space="preserve">According to   </w:t>
        <w:tab/>
      </w:r>
      <w:r>
        <w:rPr>
          <w:sz w:val="20"/>
        </w:rPr>
        <w:t xml:space="preserve">            </w:t>
      </w:r>
      <w:r>
        <w:rPr>
          <w:sz w:val="20"/>
          <w:u w:val="single"/>
        </w:rPr>
        <w:t xml:space="preserve">According to    </w:t>
      </w:r>
    </w:p>
    <w:p>
      <w:pPr>
        <w:pStyle w:val="Normal"/>
        <w:rPr/>
      </w:pPr>
      <w:r>
        <w:rPr/>
        <w:tab/>
        <w:tab/>
        <w:tab/>
        <w:tab/>
        <w:tab/>
        <w:tab/>
        <w:t xml:space="preserve">         </w:t>
      </w:r>
      <w:r>
        <w:rPr>
          <w:sz w:val="20"/>
          <w:u w:val="single"/>
        </w:rPr>
        <w:t>Plaintiffs</w:t>
      </w:r>
      <w:r>
        <w:rPr>
          <w:sz w:val="20"/>
        </w:rPr>
        <w:t xml:space="preserve">     </w:t>
      </w:r>
      <w:r>
        <w:rPr>
          <w:sz w:val="20"/>
          <w:u w:val="single"/>
        </w:rPr>
        <w:t>ECT</w:t>
      </w:r>
      <w:r>
        <w:rPr/>
        <w:t xml:space="preserve">       </w:t>
      </w:r>
      <w:r>
        <w:rPr>
          <w:sz w:val="20"/>
          <w:u w:val="single"/>
        </w:rPr>
        <w:t>Plaintiffs</w:t>
      </w:r>
      <w:r>
        <w:rPr>
          <w:sz w:val="20"/>
        </w:rPr>
        <w:t xml:space="preserve">   </w:t>
      </w:r>
      <w:r>
        <w:rPr>
          <w:sz w:val="20"/>
          <w:u w:val="single"/>
        </w:rPr>
        <w:t>ECT</w:t>
      </w:r>
      <w:r>
        <w:rPr/>
        <w:tab/>
      </w:r>
    </w:p>
    <w:p>
      <w:pPr>
        <w:pStyle w:val="Normal"/>
        <w:rPr/>
      </w:pPr>
      <w:r>
        <w:rPr/>
        <w:t>Beginning Cash Balance</w:t>
        <w:tab/>
        <w:tab/>
        <w:tab/>
        <w:t xml:space="preserve">         </w:t>
        <w:tab/>
        <w:t>$163     $178         $   7</w:t>
        <w:tab/>
        <w:t xml:space="preserve"> $22   </w:t>
      </w:r>
    </w:p>
    <w:p>
      <w:pPr>
        <w:pStyle w:val="Normal"/>
        <w:rPr/>
      </w:pPr>
      <w:r>
        <w:rPr/>
      </w:r>
    </w:p>
    <w:p>
      <w:pPr>
        <w:pStyle w:val="Normal"/>
        <w:rPr/>
      </w:pPr>
      <w:r>
        <w:rPr/>
        <w:t>Surplus in 1998*</w:t>
        <w:tab/>
        <w:tab/>
        <w:tab/>
        <w:tab/>
        <w:tab/>
        <w:t xml:space="preserve">    $7       $22 </w:t>
        <w:tab/>
        <w:t xml:space="preserve">   </w:t>
      </w:r>
    </w:p>
    <w:p>
      <w:pPr>
        <w:pStyle w:val="Normal"/>
        <w:rPr/>
      </w:pPr>
      <w:r>
        <w:rPr/>
      </w:r>
    </w:p>
    <w:p>
      <w:pPr>
        <w:pStyle w:val="Normal"/>
        <w:rPr/>
      </w:pPr>
      <w:r>
        <w:rPr/>
        <w:t>Deficit in  1999*</w:t>
        <w:tab/>
        <w:tab/>
        <w:tab/>
        <w:tab/>
        <w:tab/>
        <w:tab/>
        <w:t xml:space="preserve">       </w:t>
        <w:tab/>
        <w:t xml:space="preserve">        ($23)      ($ 8)</w:t>
      </w:r>
    </w:p>
    <w:p>
      <w:pPr>
        <w:pStyle w:val="Normal"/>
        <w:rPr/>
      </w:pPr>
      <w:r>
        <w:rPr/>
      </w:r>
    </w:p>
    <w:p>
      <w:pPr>
        <w:pStyle w:val="Normal"/>
        <w:ind w:start="720" w:end="0"/>
        <w:rPr/>
      </w:pPr>
      <w:r>
        <w:rPr/>
        <w:t>*</w:t>
      </w:r>
      <w:r>
        <w:rPr>
          <w:sz w:val="20"/>
        </w:rPr>
        <w:t xml:space="preserve">If Construction Payables were $92 million instead of $102, then funding requirements increase by $10 million with a resulting decrease in the surplus or increase in the deficit. </w:t>
      </w:r>
      <w:r>
        <w:br w:type="page"/>
      </w:r>
    </w:p>
    <w:p>
      <w:pPr>
        <w:pStyle w:val="Normal"/>
        <w:rPr>
          <w:sz w:val="20"/>
        </w:rPr>
      </w:pPr>
      <w:r>
        <w:rPr>
          <w:sz w:val="20"/>
        </w:rPr>
      </w:r>
    </w:p>
    <w:p>
      <w:pPr>
        <w:pStyle w:val="Normal"/>
        <w:rPr/>
      </w:pPr>
      <w:r>
        <w:rPr/>
        <w:t>By contrast, the model shows healthy year-end cash balances, as follows:</w:t>
      </w:r>
    </w:p>
    <w:p>
      <w:pPr>
        <w:pStyle w:val="Normal"/>
        <w:rPr/>
      </w:pPr>
      <w:r>
        <w:rPr/>
        <w:tab/>
        <w:tab/>
        <w:tab/>
        <w:tab/>
        <w:tab/>
        <w:tab/>
        <w:tab/>
        <w:tab/>
      </w:r>
      <w:r>
        <w:rPr>
          <w:u w:val="single"/>
        </w:rPr>
        <w:t>1998</w:t>
      </w:r>
      <w:r>
        <w:rPr/>
        <w:tab/>
        <w:tab/>
      </w:r>
      <w:r>
        <w:rPr>
          <w:u w:val="single"/>
        </w:rPr>
        <w:t>1999</w:t>
      </w:r>
    </w:p>
    <w:p>
      <w:pPr>
        <w:pStyle w:val="Normal"/>
        <w:rPr/>
      </w:pPr>
      <w:r>
        <w:rPr/>
        <w:t xml:space="preserve">Cash Surplus per Model </w:t>
      </w:r>
      <w:r>
        <w:rPr>
          <w:sz w:val="20"/>
        </w:rPr>
        <w:t>(CF, line 37, rows Y and Z)</w:t>
      </w:r>
      <w:r>
        <w:rPr/>
        <w:tab/>
        <w:t>$86</w:t>
        <w:tab/>
        <w:tab/>
        <w:t>$25</w:t>
      </w:r>
    </w:p>
    <w:p>
      <w:pPr>
        <w:pStyle w:val="Normal"/>
        <w:rPr/>
      </w:pPr>
      <w:r>
        <w:rPr/>
      </w:r>
    </w:p>
    <w:p>
      <w:pPr>
        <w:pStyle w:val="Normal"/>
        <w:rPr/>
      </w:pPr>
      <w:r>
        <w:rPr/>
        <w:t>The major differences in the 1998 amounts that I am able to find are that the model:</w:t>
      </w:r>
    </w:p>
    <w:p>
      <w:pPr>
        <w:pStyle w:val="Normal"/>
        <w:rPr/>
      </w:pPr>
      <w:r>
        <w:rPr/>
      </w:r>
    </w:p>
    <w:p>
      <w:pPr>
        <w:pStyle w:val="Normal"/>
        <w:numPr>
          <w:ilvl w:val="0"/>
          <w:numId w:val="9"/>
        </w:numPr>
        <w:rPr/>
      </w:pPr>
      <w:r>
        <w:rPr/>
        <w:t xml:space="preserve">Excludes interest payments to the Thai banks </w:t>
        <w:tab/>
        <w:t xml:space="preserve"> $18</w:t>
      </w:r>
    </w:p>
    <w:p>
      <w:pPr>
        <w:pStyle w:val="Normal"/>
        <w:numPr>
          <w:ilvl w:val="0"/>
          <w:numId w:val="7"/>
        </w:numPr>
        <w:rPr/>
      </w:pPr>
      <w:r>
        <w:rPr>
          <w:rFonts w:eastAsia="Century Schoolbook"/>
        </w:rPr>
        <w:t xml:space="preserve">       </w:t>
      </w:r>
      <w:r>
        <w:rPr/>
        <w:t>"       post-closing deal fees, etc.</w:t>
        <w:tab/>
        <w:tab/>
        <w:tab/>
        <w:t xml:space="preserve">   15</w:t>
      </w:r>
    </w:p>
    <w:p>
      <w:pPr>
        <w:pStyle w:val="Normal"/>
        <w:numPr>
          <w:ilvl w:val="0"/>
          <w:numId w:val="4"/>
        </w:numPr>
        <w:rPr/>
      </w:pPr>
      <w:r>
        <w:rPr>
          <w:rFonts w:eastAsia="Century Schoolbook"/>
        </w:rPr>
        <w:t xml:space="preserve">       </w:t>
      </w:r>
      <w:r>
        <w:rPr/>
        <w:t>"       additional offering expenses</w:t>
        <w:tab/>
        <w:tab/>
        <w:t xml:space="preserve">     2</w:t>
      </w:r>
    </w:p>
    <w:p>
      <w:pPr>
        <w:pStyle w:val="Normal"/>
        <w:numPr>
          <w:ilvl w:val="0"/>
          <w:numId w:val="8"/>
        </w:numPr>
        <w:rPr/>
      </w:pPr>
      <w:r>
        <w:rPr/>
        <w:t>Includes a credit for unpaid constn. payables         12</w:t>
      </w:r>
    </w:p>
    <w:p>
      <w:pPr>
        <w:pStyle w:val="Normal"/>
        <w:numPr>
          <w:ilvl w:val="0"/>
          <w:numId w:val="5"/>
        </w:numPr>
        <w:rPr/>
      </w:pPr>
      <w:r>
        <w:rPr>
          <w:rFonts w:eastAsia="Century Schoolbook"/>
        </w:rPr>
        <w:t xml:space="preserve">       </w:t>
      </w:r>
      <w:r>
        <w:rPr/>
        <w:t>"       re-borrowing from Thai banks</w:t>
        <w:tab/>
        <w:tab/>
        <w:t xml:space="preserve">   </w:t>
      </w:r>
      <w:r>
        <w:rPr>
          <w:u w:val="single"/>
        </w:rPr>
        <w:t>35</w:t>
      </w:r>
    </w:p>
    <w:p>
      <w:pPr>
        <w:pStyle w:val="Normal"/>
        <w:ind w:firstLine="480" w:end="0"/>
        <w:rPr/>
      </w:pPr>
      <w:r>
        <w:rPr/>
        <w:tab/>
        <w:tab/>
        <w:tab/>
        <w:tab/>
        <w:tab/>
        <w:tab/>
        <w:tab/>
        <w:tab/>
        <w:t xml:space="preserve"> $82</w:t>
      </w:r>
    </w:p>
    <w:p>
      <w:pPr>
        <w:pStyle w:val="Normal"/>
        <w:ind w:end="0"/>
        <w:rPr/>
      </w:pPr>
      <w:r>
        <w:rPr/>
      </w:r>
    </w:p>
    <w:p>
      <w:pPr>
        <w:pStyle w:val="Normal"/>
        <w:rPr/>
      </w:pPr>
      <w:r>
        <w:rPr/>
        <w:t xml:space="preserve">(I believe the above is a </w:t>
      </w:r>
      <w:r>
        <w:rPr>
          <w:u w:val="single"/>
        </w:rPr>
        <w:t>deceptively</w:t>
      </w:r>
      <w:r>
        <w:rPr/>
        <w:t xml:space="preserve"> close reconciliation, because there also is a difference in the treatment of the DSR account but I cannot figure out how the model handles it.)</w:t>
      </w:r>
    </w:p>
    <w:p>
      <w:pPr>
        <w:pStyle w:val="Normal"/>
        <w:rPr/>
      </w:pPr>
      <w:r>
        <w:rPr/>
      </w:r>
    </w:p>
    <w:p>
      <w:pPr>
        <w:pStyle w:val="Normal"/>
        <w:ind w:firstLine="720" w:end="0"/>
        <w:rPr/>
      </w:pPr>
      <w:r>
        <w:rPr/>
        <w:t xml:space="preserve">Obviously, if ECT can incorporate into its assessment of funding adequacy the $47 million of credits shown above ($35 + $12), it will have a reasonable defense against the plaintiff's assertions.  (What is the basis for including the $35 million borrowing from the Thai banks?)  </w:t>
      </w:r>
    </w:p>
    <w:p>
      <w:pPr>
        <w:pStyle w:val="Normal"/>
        <w:ind w:firstLine="720" w:end="0"/>
        <w:rPr/>
      </w:pPr>
      <w:r>
        <w:rPr/>
      </w:r>
    </w:p>
    <w:p>
      <w:pPr>
        <w:pStyle w:val="Normal"/>
        <w:ind w:firstLine="720" w:end="0"/>
        <w:rPr/>
      </w:pPr>
      <w:r>
        <w:rPr/>
        <w:t>In any event, I am concerned that funding insufficiency will become the central issue in the NSM litigation(s).  Remember that McDonald's expert, George Oldfield, conspicuously omitted any defense or rebuttal of the funding inadequacy allegations.  As well, the plaintiffs may find another expert who will take the Cobb and Hellmold assertions further and, additionally, may (attempt to) discredit the model itself.  In either case, ECT is more exposed to the "known or should have known" claim than it is in any of the other allegations.  We need to be very compelling in defending ECT's reliance on this model.</w:t>
      </w:r>
    </w:p>
    <w:p>
      <w:pPr>
        <w:pStyle w:val="Normal"/>
        <w:rPr/>
      </w:pPr>
      <w:r>
        <w:rPr/>
      </w:r>
    </w:p>
    <w:p>
      <w:pPr>
        <w:pStyle w:val="Heading1"/>
        <w:ind w:hanging="0" w:start="0"/>
        <w:rPr/>
      </w:pPr>
      <w:r>
        <w:rPr/>
        <w:t>Questions Concerning the NSM Model and Related Matters</w:t>
      </w:r>
    </w:p>
    <w:p>
      <w:pPr>
        <w:pStyle w:val="Normal"/>
        <w:numPr>
          <w:ilvl w:val="0"/>
          <w:numId w:val="6"/>
        </w:numPr>
        <w:rPr/>
      </w:pPr>
      <w:r>
        <w:rPr/>
        <w:t>Review the above analysis and comment.</w:t>
      </w:r>
    </w:p>
    <w:p>
      <w:pPr>
        <w:pStyle w:val="Normal"/>
        <w:numPr>
          <w:ilvl w:val="0"/>
          <w:numId w:val="6"/>
        </w:numPr>
        <w:rPr/>
      </w:pPr>
      <w:r>
        <w:rPr/>
        <w:t>ECT develops and utilizes financial models extensively – how did the NSM model compare to those models which ECT more typically utilizes?  What were the strong and weak features of the NSM model?</w:t>
      </w:r>
    </w:p>
    <w:p>
      <w:pPr>
        <w:pStyle w:val="Normal"/>
        <w:numPr>
          <w:ilvl w:val="0"/>
          <w:numId w:val="6"/>
        </w:numPr>
        <w:rPr/>
      </w:pPr>
      <w:r>
        <w:rPr/>
        <w:t>How did ECT modify or augment this model?</w:t>
      </w:r>
    </w:p>
    <w:p>
      <w:pPr>
        <w:pStyle w:val="Normal"/>
        <w:numPr>
          <w:ilvl w:val="0"/>
          <w:numId w:val="6"/>
        </w:numPr>
        <w:rPr/>
      </w:pPr>
      <w:r>
        <w:rPr/>
        <w:t>What is origin of this model – SDI, Qualitech?  How good is its legitimacy?  Are the costing relationships based on a real company, or are they theoretical?  Were the costing relationships adjusted for NSM's actual equipment configuration?</w:t>
      </w:r>
    </w:p>
    <w:p>
      <w:pPr>
        <w:pStyle w:val="Normal"/>
        <w:numPr>
          <w:ilvl w:val="0"/>
          <w:numId w:val="6"/>
        </w:numPr>
        <w:rPr/>
      </w:pPr>
      <w:r>
        <w:rPr/>
        <w:t>What did ECT do to validate the model's base case assumptions.</w:t>
      </w:r>
    </w:p>
    <w:p>
      <w:pPr>
        <w:pStyle w:val="Normal"/>
        <w:numPr>
          <w:ilvl w:val="0"/>
          <w:numId w:val="6"/>
        </w:numPr>
        <w:rPr/>
      </w:pPr>
      <w:r>
        <w:rPr/>
        <w:t>What documentation was reviewed to substantiate the amounts cited in the PROP section of the model?</w:t>
      </w:r>
    </w:p>
    <w:p>
      <w:pPr>
        <w:pStyle w:val="Normal"/>
        <w:numPr>
          <w:ilvl w:val="0"/>
          <w:numId w:val="6"/>
        </w:numPr>
        <w:rPr/>
      </w:pPr>
      <w:r>
        <w:rPr/>
        <w:t xml:space="preserve">Why was the model out of sync; it has operations starting in January (without funding) and the funding recorded in March?  It would have been simple to drop the offering proceeds into January (month 1) or else roll back the start-up operations from January to April. </w:t>
      </w:r>
    </w:p>
    <w:p>
      <w:pPr>
        <w:pStyle w:val="Normal"/>
        <w:numPr>
          <w:ilvl w:val="0"/>
          <w:numId w:val="6"/>
        </w:numPr>
        <w:rPr/>
      </w:pPr>
      <w:r>
        <w:rPr/>
        <w:t>The Cobb report (on page 19) makes reference to a NSM 1998 operating budget which has a materially different forecast than the model.  Did you ever ask to see an operating budget or were you informed that any budget different than the model was being developed or being used by NSM?  What do you know about this operating budget – format, basis, date of preparation?  Who developed it – Heasley or NSM? (It must be an exhibit if Cobb had it.)</w:t>
      </w:r>
    </w:p>
    <w:p>
      <w:pPr>
        <w:pStyle w:val="Normal"/>
        <w:numPr>
          <w:ilvl w:val="0"/>
          <w:numId w:val="6"/>
        </w:numPr>
        <w:rPr/>
      </w:pPr>
      <w:r>
        <w:rPr/>
        <w:t>The model's BS, line 108 minus line 107, shows that PP&amp;E (excluding capitalized interest) increases from $590 million to $741 million from 1997 to 1998, a difference of $151 million.  The CF, line 23, row Y, shows cap ex during 1998 of $239 million. Shouldn't these amounts should tie together?</w:t>
      </w:r>
    </w:p>
    <w:p>
      <w:pPr>
        <w:pStyle w:val="Normal"/>
        <w:numPr>
          <w:ilvl w:val="0"/>
          <w:numId w:val="6"/>
        </w:numPr>
        <w:rPr/>
      </w:pPr>
      <w:r>
        <w:rPr/>
        <w:t xml:space="preserve">Are you aware that there are hidden elements to the model.  I found that the 1998 monthly balance sheets can be expanded to include the last half of 1997, which shows September and December numbers that bear no relationship to actual 1997 amounts.  For example, the model shows PP&amp;E of $617 million (Sep.) and $629 million (Dec.) versus actuals of $420 million and $547 million, respectively. If the plaintiffs stumble upon this, we may be faced with questions like: With the model's opening balance sheet (December 1997) materially different than actual, of what value are the projected balance sheets?  If the model projected total PP&amp;E expenditures of $629 million through December 1997 and actual PP&amp;E expenditures were $547 million, doesn't that indicate the mill was, in fact, $82 million below planned construction and, therefore as alleged, not completed. </w:t>
      </w:r>
    </w:p>
    <w:p>
      <w:pPr>
        <w:pStyle w:val="Normal"/>
        <w:ind w:firstLine="360" w:end="0"/>
        <w:rPr>
          <w:sz w:val="20"/>
        </w:rPr>
      </w:pPr>
      <w:r>
        <w:rPr>
          <w:sz w:val="20"/>
        </w:rPr>
      </w:r>
    </w:p>
    <w:p>
      <w:pPr>
        <w:pStyle w:val="Normal"/>
        <w:ind w:start="360" w:end="0"/>
        <w:rPr>
          <w:sz w:val="20"/>
        </w:rPr>
      </w:pPr>
      <w:r>
        <w:rPr>
          <w:sz w:val="20"/>
        </w:rPr>
        <w:t>(To unhide the 1997 amounts, copy rows A through AC, lines 79 and down, and paste to a new sheet, then print the new sheet. The months, line 4, have to be inserted with a separate copy and paste unless you want to see all of the data above line 79.)</w:t>
      </w:r>
    </w:p>
    <w:p>
      <w:pPr>
        <w:pStyle w:val="Normal"/>
        <w:rPr>
          <w:sz w:val="20"/>
        </w:rPr>
      </w:pPr>
      <w:r>
        <w:rPr>
          <w:sz w:val="20"/>
        </w:rPr>
      </w:r>
    </w:p>
    <w:p>
      <w:pPr>
        <w:pStyle w:val="Normal"/>
        <w:numPr>
          <w:ilvl w:val="0"/>
          <w:numId w:val="6"/>
        </w:numPr>
        <w:rPr/>
      </w:pPr>
      <w:r>
        <w:rPr/>
        <w:t>The above procedure also unhides the 1997 monthlies for the income and cash flow statements.  I have not examined them as yet.</w:t>
      </w:r>
    </w:p>
    <w:p>
      <w:pPr>
        <w:pStyle w:val="Normal"/>
        <w:numPr>
          <w:ilvl w:val="0"/>
          <w:numId w:val="6"/>
        </w:numPr>
        <w:rPr/>
      </w:pPr>
      <w:r>
        <w:rPr/>
        <w:t xml:space="preserve">Was the model updated by McDonald or ECT for actual results or better projected amounts after the 12/17/97 edition shown in the OM?  It just seems that it would be logical to insert the September 1997 figures into the model once available.  (The September 1997 audit is dated January 14, 1998.) </w:t>
      </w:r>
    </w:p>
    <w:p>
      <w:pPr>
        <w:pStyle w:val="Normal"/>
        <w:numPr>
          <w:ilvl w:val="0"/>
          <w:numId w:val="6"/>
        </w:numPr>
        <w:rPr/>
      </w:pPr>
      <w:r>
        <w:rPr/>
        <w:t>The OM Sources and Uses statement showed $188 million of cash available to cover a projected $176 million of remaining cap ex.  What analysis did ECT undertake to convince itself that this $12 million surplus was a sufficient amount?  Seemingly, it does not allow for any slippage in the forecasted revenues or margins, or do other factors come into play?</w:t>
      </w:r>
    </w:p>
    <w:p>
      <w:pPr>
        <w:pStyle w:val="Normal"/>
        <w:numPr>
          <w:ilvl w:val="0"/>
          <w:numId w:val="6"/>
        </w:numPr>
        <w:rPr/>
      </w:pPr>
      <w:r>
        <w:rPr>
          <w:rFonts w:eastAsia="Century Schoolbook"/>
        </w:rPr>
        <w:t xml:space="preserve"> </w:t>
      </w:r>
      <w:r>
        <w:rPr/>
        <w:t xml:space="preserve">What further analysis was undertaken when ECT learned of the added $10 million of interest to the Thai banks, reducing the surplus to $2   million? </w:t>
      </w:r>
    </w:p>
    <w:p>
      <w:pPr>
        <w:pStyle w:val="Normal"/>
        <w:rPr/>
      </w:pPr>
      <w:r>
        <w:rPr/>
      </w:r>
    </w:p>
    <w:p>
      <w:pPr>
        <w:pStyle w:val="Normal"/>
        <w:rPr>
          <w:u w:val="single"/>
        </w:rPr>
      </w:pPr>
      <w:r>
        <w:rPr>
          <w:u w:val="single"/>
        </w:rPr>
        <w:t>Questions regarding the Status and Condition of the Mill</w:t>
      </w:r>
    </w:p>
    <w:p>
      <w:pPr>
        <w:pStyle w:val="Normal"/>
        <w:numPr>
          <w:ilvl w:val="0"/>
          <w:numId w:val="3"/>
        </w:numPr>
        <w:rPr/>
      </w:pPr>
      <w:r>
        <w:rPr/>
        <w:t>What inquiries did ECT make to confirm or assess the mill's degree of completion and the quality of its initial production?</w:t>
      </w:r>
    </w:p>
    <w:p>
      <w:pPr>
        <w:pStyle w:val="Normal"/>
        <w:numPr>
          <w:ilvl w:val="0"/>
          <w:numId w:val="3"/>
        </w:numPr>
        <w:rPr/>
      </w:pPr>
      <w:r>
        <w:rPr/>
        <w:t>If start-up problems are typical in a mini-mill, how much research did ECT do on the type, duration and severity of such problems at other mills?</w:t>
      </w:r>
    </w:p>
    <w:p>
      <w:pPr>
        <w:pStyle w:val="Normal"/>
        <w:numPr>
          <w:ilvl w:val="0"/>
          <w:numId w:val="3"/>
        </w:numPr>
        <w:rPr/>
      </w:pPr>
      <w:r>
        <w:rPr/>
        <w:t>When did ECT think that NSM production problems were more than just typical start-up issues?</w:t>
      </w:r>
    </w:p>
    <w:p>
      <w:pPr>
        <w:pStyle w:val="Normal"/>
        <w:numPr>
          <w:ilvl w:val="0"/>
          <w:numId w:val="3"/>
        </w:numPr>
        <w:rPr/>
      </w:pPr>
      <w:r>
        <w:rPr/>
        <w:t>If NSM steel production in December, January and February were of poor quality, why didn't anybody learn of this?</w:t>
      </w:r>
    </w:p>
    <w:p>
      <w:pPr>
        <w:pStyle w:val="Normal"/>
        <w:numPr>
          <w:ilvl w:val="0"/>
          <w:numId w:val="3"/>
        </w:numPr>
        <w:rPr/>
      </w:pPr>
      <w:r>
        <w:rPr/>
        <w:t>Did ECT make any special efforts to focus on "construction risk"?</w:t>
      </w:r>
    </w:p>
    <w:p>
      <w:pPr>
        <w:pStyle w:val="Normal"/>
        <w:numPr>
          <w:ilvl w:val="0"/>
          <w:numId w:val="3"/>
        </w:numPr>
        <w:rPr/>
      </w:pPr>
      <w:r>
        <w:rPr>
          <w:i/>
        </w:rPr>
        <w:t>As specifically as possible</w:t>
      </w:r>
      <w:r>
        <w:rPr/>
        <w:t>, what and when were Kevin's conversations with Busse about his or SDI's assessments of mill completion and product quality?  Were the conversations with Busse on these matters casual or formal?  Did you speak with anyone else at SDI on this matter?</w:t>
      </w:r>
    </w:p>
    <w:p>
      <w:pPr>
        <w:pStyle w:val="Normal"/>
        <w:numPr>
          <w:ilvl w:val="0"/>
          <w:numId w:val="3"/>
        </w:numPr>
        <w:rPr/>
      </w:pPr>
      <w:r>
        <w:rPr/>
        <w:t>What, in fact, was going on at NSM during the months of December, January and February?  Was it mothballed, barely operating, skeleton crew, full crew…?</w:t>
      </w:r>
    </w:p>
    <w:p>
      <w:pPr>
        <w:pStyle w:val="Normal"/>
        <w:numPr>
          <w:ilvl w:val="0"/>
          <w:numId w:val="3"/>
        </w:numPr>
        <w:rPr/>
      </w:pPr>
      <w:r>
        <w:rPr/>
        <w:t>Why was NSM's condition so different in April (according to Nolan's report and the April Board meeting agenda) than it was perceived to be just a month or two earlier?</w:t>
      </w:r>
    </w:p>
    <w:p>
      <w:pPr>
        <w:pStyle w:val="Normal"/>
        <w:numPr>
          <w:ilvl w:val="0"/>
          <w:numId w:val="3"/>
        </w:numPr>
        <w:rPr/>
      </w:pPr>
      <w:r>
        <w:rPr/>
        <w:t>What operating and financial strains were placed on NSM as a result of the Offering's delay from its initially scheduled December closing?  Were these visible to ECT</w:t>
      </w:r>
    </w:p>
    <w:p>
      <w:pPr>
        <w:pStyle w:val="Normal"/>
        <w:numPr>
          <w:ilvl w:val="0"/>
          <w:numId w:val="3"/>
        </w:numPr>
        <w:rPr/>
      </w:pPr>
      <w:r>
        <w:rPr/>
        <w:t>At the road shows attended by Brian, was anything said about the mill's completion or quality of product?</w:t>
      </w:r>
    </w:p>
    <w:p>
      <w:pPr>
        <w:pStyle w:val="Normal"/>
        <w:rPr/>
      </w:pPr>
      <w:r>
        <w:rPr/>
      </w:r>
    </w:p>
    <w:p>
      <w:pPr>
        <w:pStyle w:val="Normal"/>
        <w:rPr>
          <w:u w:val="single"/>
        </w:rPr>
      </w:pPr>
      <w:r>
        <w:rPr>
          <w:u w:val="single"/>
        </w:rPr>
        <w:t>Questions relating to Due Diligence</w:t>
      </w:r>
    </w:p>
    <w:p>
      <w:pPr>
        <w:pStyle w:val="Normal"/>
        <w:numPr>
          <w:ilvl w:val="0"/>
          <w:numId w:val="2"/>
        </w:numPr>
        <w:rPr/>
      </w:pPr>
      <w:r>
        <w:rPr/>
        <w:t>Why did ECT not attend the "all hands" drafting or due diligence sessions?</w:t>
      </w:r>
    </w:p>
    <w:p>
      <w:pPr>
        <w:pStyle w:val="Normal"/>
        <w:numPr>
          <w:ilvl w:val="0"/>
          <w:numId w:val="2"/>
        </w:numPr>
        <w:rPr/>
      </w:pPr>
      <w:r>
        <w:rPr/>
        <w:t>How did ECT separate its due diligence and (especially) disclosure duties to itself as an investor from these duties on behalf of other (less experienced, less knowledgeable or less risk prone) investors?</w:t>
      </w:r>
    </w:p>
    <w:p>
      <w:pPr>
        <w:pStyle w:val="Normal"/>
        <w:numPr>
          <w:ilvl w:val="0"/>
          <w:numId w:val="2"/>
        </w:numPr>
        <w:rPr/>
      </w:pPr>
      <w:r>
        <w:rPr/>
        <w:t>What steps did ECT take to remain current with NSM's financial and operating condition during the December – March period?</w:t>
      </w:r>
    </w:p>
    <w:p>
      <w:pPr>
        <w:pStyle w:val="Normal"/>
        <w:numPr>
          <w:ilvl w:val="0"/>
          <w:numId w:val="2"/>
        </w:numPr>
        <w:rPr/>
      </w:pPr>
      <w:r>
        <w:rPr/>
        <w:t>How large were the two road show audiences?  Was there much Q and A?</w:t>
      </w:r>
    </w:p>
    <w:p>
      <w:pPr>
        <w:pStyle w:val="Normal"/>
        <w:numPr>
          <w:ilvl w:val="0"/>
          <w:numId w:val="2"/>
        </w:numPr>
        <w:rPr/>
      </w:pPr>
      <w:r>
        <w:rPr/>
        <w:t>Did ECT have any reason to believe that NSM or any of the other placement agents was over-promoting or "gilding the lily" in the descriptions of the company in the OM?</w:t>
      </w:r>
    </w:p>
    <w:p>
      <w:pPr>
        <w:pStyle w:val="Normal"/>
        <w:numPr>
          <w:ilvl w:val="0"/>
          <w:numId w:val="2"/>
        </w:numPr>
        <w:rPr/>
      </w:pPr>
      <w:r>
        <w:rPr/>
        <w:t xml:space="preserve">What were the </w:t>
      </w:r>
      <w:r>
        <w:rPr>
          <w:u w:val="single"/>
        </w:rPr>
        <w:t>anticipated</w:t>
      </w:r>
      <w:r>
        <w:rPr/>
        <w:t xml:space="preserve"> "related party" protections and management oversight improvements to be derived from the Management Company?</w:t>
      </w:r>
    </w:p>
    <w:p>
      <w:pPr>
        <w:pStyle w:val="Normal"/>
        <w:numPr>
          <w:ilvl w:val="0"/>
          <w:numId w:val="2"/>
        </w:numPr>
        <w:rPr/>
      </w:pPr>
      <w:r>
        <w:rPr>
          <w:rFonts w:eastAsia="Century Schoolbook"/>
        </w:rPr>
        <w:t xml:space="preserve"> </w:t>
      </w:r>
      <w:r>
        <w:rPr/>
        <w:t>Was there any significance to the Management Company being a LLC versus a corporation?  Did ECT perceive any advantage to having greater voting rights than the others?</w:t>
      </w:r>
    </w:p>
    <w:p>
      <w:pPr>
        <w:pStyle w:val="Normal"/>
        <w:rPr/>
      </w:pPr>
      <w:r>
        <w:rPr/>
      </w:r>
    </w:p>
    <w:p>
      <w:pPr>
        <w:pStyle w:val="Normal"/>
        <w:numPr>
          <w:ilvl w:val="0"/>
          <w:numId w:val="0"/>
        </w:numPr>
        <w:ind w:hanging="0" w:start="0"/>
        <w:rPr/>
      </w:pPr>
      <w:r>
        <w:rPr/>
        <w:t xml:space="preserve">After our conference call, I think it would be wise to discard this memo. There's no sense to helping the plaintiffs develop their case with our work&gt;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ahoma">
    <w:charset w:val="00" w:characterSet="windows-1252"/>
    <w:family w:val="swiss"/>
    <w:pitch w:val="variable"/>
  </w:font>
  <w:font w:name="Franklin Gothic Book">
    <w:charset w:val="00" w:characterSet="windows-1252"/>
    <w:family w:val="swiss"/>
    <w:pitch w:val="variable"/>
  </w:font>
  <w:font w:name="News Gothic M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Franklin Gothic Book" w:hAnsi="Franklin Gothic Book" w:cs="Franklin Gothic Book"/>
        <w:sz w:val="12"/>
      </w:rPr>
    </w:pPr>
    <w:r>
      <w:rPr>
        <w:rFonts w:cs="Franklin Gothic Book" w:ascii="Franklin Gothic Book" w:hAnsi="Franklin Gothic Book"/>
        <w:sz w:val="1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tabs>
        <w:tab w:val="clear" w:pos="720"/>
        <w:tab w:val="left" w:pos="540" w:leader="none"/>
      </w:tabs>
      <w:jc w:val="start"/>
      <w:rPr/>
    </w:pPr>
    <w:r>
      <w:rPr>
        <w:rFonts w:cs="News Gothic MT" w:ascii="News Gothic MT" w:hAnsi="News Gothic MT"/>
        <w:spacing w:val="-14"/>
        <w:sz w:val="28"/>
      </w:rPr>
      <w:t xml:space="preserve">McGrath </w:t>
    </w:r>
    <w:r>
      <w:rPr>
        <w:rFonts w:cs="News Gothic MT" w:ascii="News Gothic MT" w:hAnsi="News Gothic MT"/>
        <w:spacing w:val="-14"/>
        <w:sz w:val="26"/>
      </w:rPr>
      <w:t>&amp;</w:t>
    </w:r>
    <w:r>
      <w:rPr>
        <w:rFonts w:cs="News Gothic MT" w:ascii="News Gothic MT" w:hAnsi="News Gothic MT"/>
        <w:spacing w:val="-14"/>
        <w:sz w:val="28"/>
      </w:rPr>
      <w:t xml:space="preserve"> Company</w:t>
    </w:r>
  </w:p>
  <w:p>
    <w:pPr>
      <w:pStyle w:val="Normal"/>
      <w:rPr>
        <w:rFonts w:ascii="Franklin Gothic Book" w:hAnsi="Franklin Gothic Book" w:cs="Franklin Gothic Book"/>
        <w:color w:val="000000"/>
        <w:sz w:val="12"/>
      </w:rPr>
    </w:pPr>
    <w:r>
      <w:rPr>
        <w:rFonts w:eastAsia="Franklin Gothic Book" w:cs="Franklin Gothic Book" w:ascii="Franklin Gothic Book" w:hAnsi="Franklin Gothic Book"/>
        <w:sz w:val="12"/>
      </w:rPr>
      <w:t xml:space="preserve">               </w:t>
    </w:r>
    <w:r>
      <w:rPr>
        <w:rFonts w:cs="Franklin Gothic Book" w:ascii="Franklin Gothic Book" w:hAnsi="Franklin Gothic Book"/>
        <w:sz w:val="12"/>
      </w:rPr>
      <w:t>PRIVATE INVESTMENT BANKING</w:t>
    </w:r>
  </w:p>
  <w:p>
    <w:pPr>
      <w:pStyle w:val="Normal"/>
      <w:jc w:val="center"/>
      <w:rPr>
        <w:rFonts w:ascii="Franklin Gothic Book" w:hAnsi="Franklin Gothic Book" w:cs="Franklin Gothic Book"/>
        <w:color w:val="000000"/>
        <w:sz w:val="12"/>
      </w:rPr>
    </w:pPr>
    <w:r>
      <w:rPr>
        <w:rFonts w:cs="Franklin Gothic Book" w:ascii="Franklin Gothic Book" w:hAnsi="Franklin Gothic Book"/>
        <w:color w:val="000000"/>
        <w:sz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2z0">
    <w:name w:val="WW8Num2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ahoma" w:hAnsi="Tahoma" w:cs="Tahoma"/>
      <w:b/>
      <w:i/>
      <w:smallCap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 w:hAnsi="Century Schoolbook" w:cs="Century Schoolbook"/>
      <w:sz w:val="24"/>
    </w:rPr>
  </w:style>
  <w:style w:type="paragraph" w:styleId="EnvelopeReturn">
    <w:name w:val="envelope return"/>
    <w:basedOn w:val="Normal"/>
    <w:pPr/>
    <w:rPr>
      <w:rFonts w:ascii="Century Schoolbook" w:hAnsi="Century Schoolbook" w:cs="Century Schoolbook"/>
      <w:b/>
    </w:rPr>
  </w:style>
  <w:style w:type="paragraph" w:styleId="BodyTextIndent">
    <w:name w:val="Body Text Indent"/>
    <w:basedOn w:val="Normal"/>
    <w:pPr>
      <w:ind w:firstLine="720" w:start="0" w:end="0"/>
    </w:pPr>
    <w:rPr>
      <w:sz w:val="20"/>
    </w:rPr>
  </w:style>
  <w:style w:type="paragraph" w:styleId="BodyTextIndent2">
    <w:name w:val="Body Text Inden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2001-04-26T18:20:00Z</dcterms:created>
  <dc:creator>Gerry McGrath</dc:creator>
  <dc:description/>
  <dc:language>en-CA</dc:language>
  <cp:lastModifiedBy>Gerry McGrath</cp:lastModifiedBy>
  <cp:lastPrinted>2001-04-30T12:31:00Z</cp:lastPrinted>
  <dcterms:modified xsi:type="dcterms:W3CDTF">2001-04-30T14:18:00Z</dcterms:modified>
  <cp:revision>19</cp:revision>
  <dc:subject/>
  <dc:title>Hellmold and Cobb Funding Insufficiency Issue</dc:title>
</cp:coreProperties>
</file>