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CAPITAL &amp; TRADE RESOURCES CORP.</w:t>
      </w:r>
    </w:p>
    <w:p>
      <w:pPr>
        <w:pStyle w:val="Normal"/>
        <w:jc w:val="center"/>
        <w:rPr>
          <w:rFonts w:ascii="Times New Roman" w:hAnsi="Times New Roman" w:cs="Times New Roman"/>
          <w:b/>
          <w:sz w:val="28"/>
        </w:rPr>
      </w:pPr>
      <w:r>
        <w:rPr>
          <w:rFonts w:cs="Times New Roman" w:ascii="Times New Roman" w:hAnsi="Times New Roman"/>
          <w:b/>
          <w:sz w:val="28"/>
        </w:rPr>
        <w:t>AUTHORIZED OFFICERS AND TRADERS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CORPORATE OFFICERS (Partial Listing</w:t>
      </w:r>
      <w:r>
        <w:rPr>
          <w:rFonts w:cs="Times New Roman" w:ascii="Times New Roman" w:hAnsi="Times New Roman"/>
          <w:b/>
          <w:sz w:val="20"/>
        </w:rPr>
        <w:t>)</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rFonts w:ascii="Times New Roman" w:hAnsi="Times New Roman" w:cs="Times New Roman"/>
                <w:sz w:val="20"/>
                <w:u w:val="single"/>
              </w:rPr>
            </w:pPr>
            <w:r>
              <w:rPr>
                <w:rFonts w:cs="Times New Roman" w:ascii="Times New Roman" w:hAnsi="Times New Roman"/>
                <w:sz w:val="20"/>
                <w:u w:val="single"/>
              </w:rPr>
              <w:t>Name</w:t>
            </w:r>
          </w:p>
        </w:tc>
        <w:tc>
          <w:tcPr>
            <w:tcW w:w="5148" w:type="dxa"/>
            <w:tcBorders/>
          </w:tcPr>
          <w:p>
            <w:pPr>
              <w:pStyle w:val="Normal"/>
              <w:jc w:val="center"/>
              <w:rPr>
                <w:rFonts w:ascii="Times New Roman" w:hAnsi="Times New Roman" w:cs="Times New Roman"/>
                <w:sz w:val="20"/>
                <w:u w:val="single"/>
              </w:rPr>
            </w:pPr>
            <w:r>
              <w:rPr>
                <w:rFonts w:cs="Times New Roman" w:ascii="Times New Roman" w:hAnsi="Times New Roman"/>
                <w:sz w:val="20"/>
                <w:u w:val="single"/>
              </w:rPr>
              <w:t>Title</w:t>
            </w:r>
          </w:p>
        </w:tc>
      </w:tr>
      <w:tr>
        <w:trPr/>
        <w:tc>
          <w:tcPr>
            <w:tcW w:w="442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5148" w:type="dxa"/>
            <w:tcBorders/>
          </w:tcPr>
          <w:p>
            <w:pPr>
              <w:pStyle w:val="Normal"/>
              <w:snapToGrid w:val="false"/>
              <w:jc w:val="center"/>
              <w:rPr>
                <w:rFonts w:ascii="Times New Roman" w:hAnsi="Times New Roman" w:cs="Times New Roman"/>
                <w:sz w:val="20"/>
                <w:u w:val="single"/>
              </w:rPr>
            </w:pPr>
            <w:r>
              <w:rPr>
                <w:rFonts w:cs="Times New Roman" w:ascii="Times New Roman" w:hAnsi="Times New Roman"/>
                <w:sz w:val="20"/>
                <w:u w:val="single"/>
              </w:rPr>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 Clifford Baxter</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Chairman of the Board, Chief Executive Officer and 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Kevin P. Hannon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President and Chief Operating Officer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Colleen Sullivan-Shaklovitz</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Jeffrey A. Shankman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Lawrence Greg Whalley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E. Haedicke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General Counsel</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Barbara N. Gray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Vice President, General Counsel, Assets And Assistant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Angus H. Davis</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Vice President and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Kate B. Cole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TYPE OF ACCOUNT:  Hedge</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NEW ACCOUNTS OR SUBACCOUNTS</w:t>
      </w:r>
      <w:r>
        <w:rPr>
          <w:rFonts w:cs="Times New Roman" w:ascii="Times New Roman" w:hAnsi="Times New Roman"/>
          <w:b/>
          <w:sz w:val="20"/>
        </w:rPr>
        <w:t>:</w:t>
      </w:r>
      <w:r>
        <w:rPr>
          <w:rFonts w:cs="Times New Roman" w:ascii="Times New Roman" w:hAnsi="Times New Roman"/>
          <w:sz w:val="20"/>
        </w:rPr>
        <w:t xml:space="preserve">  The following individuals are authorized to establish new accounts on behalf of the Customer: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the (i) the President, (ii) the Vice President and Treasurer or (iii) any Managing Director of the Company, acting together with any one of (i) the Managing Director and General Counsel, (ii) the Vice President and General Counsel, Finance of the Company, (iii) the Senior Vice President and Chief Risk Officer of Enron Corp., or (iv) Theodore R. Murphy, Vice President of Risk Assessment and Control Group, a division of Enron Corp. is authorized to establish accounts (which may be margin accounts).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following individuals are authorized to establish subaccounts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(i) the President, (ii) the Vice President and Treasurer, (iii) any Managing Director of the Company, (iv) the Senior Vice President and Chief Risk Officer of Enron Corp., or (v) Theodore R. Murphy, Vice President of Risk Assessment and Control Group, a division of Enron Corp., is specifically authorized to open subaccounts upon written instructions to such brokers.</w:t>
      </w:r>
      <w:r>
        <w:br w:type="page"/>
      </w:r>
    </w:p>
    <w:p>
      <w:pPr>
        <w:pStyle w:val="Normal"/>
        <w:rPr>
          <w:rFonts w:ascii="Times New Roman" w:hAnsi="Times New Roman" w:cs="Times New Roman"/>
          <w:sz w:val="20"/>
        </w:rPr>
      </w:pPr>
      <w:r>
        <w:rPr>
          <w:rFonts w:cs="Times New Roman" w:ascii="Times New Roman" w:hAnsi="Times New Roman"/>
          <w:sz w:val="20"/>
        </w:rPr>
      </w:r>
    </w:p>
    <w:tbl>
      <w:tblPr>
        <w:tblW w:w="10063" w:type="dxa"/>
        <w:jc w:val="start"/>
        <w:tblInd w:w="0" w:type="dxa"/>
        <w:tblLayout w:type="fixed"/>
        <w:tblCellMar>
          <w:top w:w="0" w:type="dxa"/>
          <w:start w:w="30" w:type="dxa"/>
          <w:bottom w:w="0" w:type="dxa"/>
          <w:end w:w="30" w:type="dxa"/>
        </w:tblCellMar>
      </w:tblPr>
      <w:tblGrid>
        <w:gridCol w:w="2730"/>
        <w:gridCol w:w="2150"/>
        <w:gridCol w:w="10"/>
        <w:gridCol w:w="1440"/>
        <w:gridCol w:w="180"/>
        <w:gridCol w:w="2880"/>
        <w:gridCol w:w="27"/>
        <w:gridCol w:w="63"/>
        <w:gridCol w:w="20"/>
        <w:gridCol w:w="556"/>
        <w:gridCol w:w="7"/>
      </w:tblGrid>
      <w:tr>
        <w:trPr>
          <w:trHeight w:val="259" w:hRule="atLeast"/>
        </w:trPr>
        <w:tc>
          <w:tcPr>
            <w:tcW w:w="10063" w:type="dxa"/>
            <w:gridSpan w:val="11"/>
            <w:tcBorders/>
          </w:tcPr>
          <w:p>
            <w:pPr>
              <w:pStyle w:val="Normal"/>
              <w:rPr/>
            </w:pPr>
            <w:r>
              <w:rPr>
                <w:rFonts w:cs="Times New Roman" w:ascii="Times New Roman" w:hAnsi="Times New Roman"/>
                <w:b/>
                <w:color w:val="000000"/>
                <w:sz w:val="24"/>
              </w:rPr>
              <w:t>TRADING AUTHORIZATION</w:t>
            </w:r>
            <w:r>
              <w:rPr>
                <w:rFonts w:cs="Times New Roman" w:ascii="Times New Roman" w:hAnsi="Times New Roman"/>
                <w:color w:val="000000"/>
                <w:sz w:val="20"/>
              </w:rPr>
              <w:t xml:space="preserve"> – The following individuals are authorized to enter orders on behalf of the customer:</w:t>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NATURAL GAS FUTURES</w:t>
            </w:r>
          </w:p>
        </w:tc>
        <w:tc>
          <w:tcPr>
            <w:tcW w:w="2160" w:type="dxa"/>
            <w:gridSpan w:val="2"/>
            <w:tcBorders/>
          </w:tcPr>
          <w:p>
            <w:pPr>
              <w:pStyle w:val="Normal"/>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gridSpan w:val="2"/>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gridSpan w:val="2"/>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Phillip Allen</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853-7041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Arnold</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853-3230</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Sandra Brawner</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853-4854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Martin Cuilla</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853-5933</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Tom Donohoe</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853-7151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Grigsby</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853-7031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Keith Holst</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853-7069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Mark Horowitz</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853-7024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Dick Jenkins</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853-5136</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Peter Keavey</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853-7277</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Andy Lewis</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853-6278</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Jean Mrha</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853-1931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Kayvan Malek</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853-6731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Tom Martin</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853-3079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McClendon</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853-6089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Brad McKay</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853-7699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Scott Neal</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853-4723</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Jim Schweiger</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853-7705</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Bob Shiring</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853-5200</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Hunter Shively</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853-4772</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Geoff Storey</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853-7058</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Fletch Sturm</w:t>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853-6219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Shankman</w:t>
            </w:r>
          </w:p>
        </w:tc>
        <w:tc>
          <w:tcPr>
            <w:tcW w:w="2160"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853-1761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ELECTRICITY FUTURES</w:t>
            </w:r>
          </w:p>
        </w:tc>
        <w:tc>
          <w:tcPr>
            <w:tcW w:w="2160" w:type="dxa"/>
            <w:gridSpan w:val="2"/>
            <w:tcBorders/>
          </w:tcPr>
          <w:p>
            <w:pPr>
              <w:pStyle w:val="Normal"/>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gridSpan w:val="2"/>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gridSpan w:val="2"/>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Tim Belden</w:t>
            </w:r>
          </w:p>
        </w:tc>
        <w:tc>
          <w:tcPr>
            <w:tcW w:w="2160" w:type="dxa"/>
            <w:gridSpan w:val="2"/>
            <w:tcBorders/>
          </w:tcPr>
          <w:p>
            <w:pPr>
              <w:pStyle w:val="Normal"/>
              <w:ind w:end="-210"/>
              <w:jc w:val="start"/>
              <w:rPr>
                <w:rFonts w:ascii="Times New Roman" w:hAnsi="Times New Roman" w:cs="Times New Roman"/>
                <w:color w:val="000000"/>
                <w:sz w:val="20"/>
              </w:rPr>
            </w:pPr>
            <w:r>
              <w:rPr>
                <w:rFonts w:cs="Times New Roman" w:ascii="Times New Roman" w:hAnsi="Times New Roman"/>
                <w:color w:val="000000"/>
                <w:sz w:val="20"/>
              </w:rPr>
              <w:t>(Head Trader, West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464-3820</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Berger</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853-7281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Terri Clynes</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853-7724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Mark ‘Dana’ Davis</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853-7520</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James B. Fallon</w:t>
            </w:r>
          </w:p>
        </w:tc>
        <w:tc>
          <w:tcPr>
            <w:tcW w:w="2160" w:type="dxa"/>
            <w:gridSpan w:val="2"/>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 East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853-3354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Jason Haile</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853-9902</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Lance Halgren</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853-6284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Russell ‘Rusty’ Kelley</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853-9302</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Terry Lohrenz</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853-3817</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color w:val="000000"/>
                <w:sz w:val="20"/>
              </w:rPr>
              <w:t>Kevin McGowan</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464-3812</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sz w:val="20"/>
              </w:rPr>
              <w:t>Paul Mead</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Diem Phan</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853-5308</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Laura Podurgiel</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853-6470</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Randy Posejpal</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853-1906</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Bill Reed</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853-6867</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Kyle Schultz</w:t>
            </w:r>
          </w:p>
        </w:tc>
        <w:tc>
          <w:tcPr>
            <w:tcW w:w="216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853-4314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sz w:val="20"/>
              </w:rPr>
              <w:t>John Suarez</w:t>
            </w:r>
          </w:p>
        </w:tc>
        <w:tc>
          <w:tcPr>
            <w:tcW w:w="216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853-5267</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Swerzbin</w:t>
            </w:r>
          </w:p>
        </w:tc>
        <w:tc>
          <w:tcPr>
            <w:tcW w:w="216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464-3816</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Larry Valderrama</w:t>
            </w:r>
          </w:p>
        </w:tc>
        <w:tc>
          <w:tcPr>
            <w:tcW w:w="216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853-7319</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sz w:val="20"/>
              </w:rPr>
              <w:t>Greg Woulfe</w:t>
            </w:r>
          </w:p>
        </w:tc>
        <w:tc>
          <w:tcPr>
            <w:tcW w:w="216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853-5841</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Zufferli</w:t>
            </w:r>
          </w:p>
        </w:tc>
        <w:tc>
          <w:tcPr>
            <w:tcW w:w="216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853-9684</w:t>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FINANCIAL</w:t>
            </w:r>
          </w:p>
        </w:tc>
        <w:tc>
          <w:tcPr>
            <w:tcW w:w="2160" w:type="dxa"/>
            <w:gridSpan w:val="2"/>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Harry Arora</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853-6750</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Bradley</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853-4271</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Madhur Dayal</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853-0408</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Darren Delage</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853-1695</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Greene</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853-5355</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Kevin Hannon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853-4701</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Gary Hickerson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853-7617</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Colin Jackson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853-5668</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Kinneman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853-5398</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McMahon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853-5359</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Cathy Moehlman</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853-3353</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Mary Perkins</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853-3172</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Pushkar Shahi</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853-9199</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William Stuart</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853-1507</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Vitrella</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646-8298</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Whalley</w:t>
            </w:r>
          </w:p>
        </w:tc>
        <w:tc>
          <w:tcPr>
            <w:tcW w:w="216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853-5220</w:t>
            </w:r>
          </w:p>
        </w:tc>
        <w:tc>
          <w:tcPr>
            <w:tcW w:w="9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gridSpan w:val="3"/>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10056" w:type="dxa"/>
            <w:gridSpan w:val="10"/>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SOUR, CRUDE OIL, LIGHT SWEET CRUDE OIL, AND BRENT CRUDE</w:t>
            </w:r>
          </w:p>
        </w:tc>
        <w:tc>
          <w:tcPr>
            <w:tcW w:w="0" w:type="dxa"/>
            <w:vMerge w:val="continue"/>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gridSpan w:val="2"/>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gridSpan w:val="2"/>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gridSpan w:val="2"/>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Russel Gibaut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(713) 853-7037</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Mee</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853-6960</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Paul Racicot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853-1974</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Dale Snyder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Andy Thomas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853-9360</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10056" w:type="dxa"/>
            <w:gridSpan w:val="10"/>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GAS, OIL, HEATING OIL, UNLEADED GASOLINE, AND GAS CRACK FUTURE</w:t>
            </w:r>
          </w:p>
        </w:tc>
        <w:tc>
          <w:tcPr>
            <w:tcW w:w="0" w:type="dxa"/>
            <w:vMerge w:val="continue"/>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0" w:type="dxa"/>
            <w:vMerge w:val="continue"/>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gridSpan w:val="2"/>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gridSpan w:val="2"/>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gridSpan w:val="2"/>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Paul Broderick</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853-9332</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Russel Gibaut</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(713) 853-7037</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Paul Racicot</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853-1974</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Dale Snyder</w:t>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PROPANE FUTURES</w:t>
            </w:r>
          </w:p>
        </w:tc>
        <w:tc>
          <w:tcPr>
            <w:tcW w:w="215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5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gridSpan w:val="2"/>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gridSpan w:val="2"/>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gridSpan w:val="2"/>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Adam Gross</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853-5767</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Paul Racicot</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853-1974</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Thomas</w:t>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853-1974</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Greg Whalley</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gridSpan w:val="2"/>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853-5220</w:t>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450"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gridSpan w:val="2"/>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63" w:type="dxa"/>
            <w:gridSpan w:val="2"/>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CONFIRMATIONS </w:t>
      </w:r>
      <w:r>
        <w:rPr>
          <w:rFonts w:cs="Times New Roman" w:ascii="Times New Roman" w:hAnsi="Times New Roman"/>
          <w:sz w:val="20"/>
        </w:rPr>
        <w:t>- The following individuals shall receive written copies of all confirmations and statements:</w:t>
      </w:r>
    </w:p>
    <w:p>
      <w:pPr>
        <w:pStyle w:val="Normal"/>
        <w:keepNext w:val="true"/>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28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37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keepNext w:val="true"/>
              <w:rPr>
                <w:rFonts w:ascii="Times New Roman" w:hAnsi="Times New Roman" w:cs="Times New Roman"/>
                <w:sz w:val="20"/>
              </w:rPr>
            </w:pPr>
            <w:r>
              <w:rPr>
                <w:rFonts w:cs="Times New Roman" w:ascii="Times New Roman" w:hAnsi="Times New Roman"/>
                <w:sz w:val="20"/>
              </w:rPr>
              <w:t>Diana McLauglin</w:t>
            </w:r>
          </w:p>
        </w:tc>
        <w:tc>
          <w:tcPr>
            <w:tcW w:w="28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853-3410</w:t>
            </w:r>
          </w:p>
        </w:tc>
      </w:tr>
      <w:tr>
        <w:trPr/>
        <w:tc>
          <w:tcPr>
            <w:tcW w:w="3708" w:type="dxa"/>
            <w:tcBorders/>
          </w:tcPr>
          <w:p>
            <w:pPr>
              <w:pStyle w:val="Normal"/>
              <w:rPr>
                <w:rFonts w:ascii="Times New Roman" w:hAnsi="Times New Roman" w:cs="Times New Roman"/>
                <w:sz w:val="20"/>
              </w:rPr>
            </w:pPr>
            <w:r>
              <w:rPr>
                <w:rFonts w:cs="Times New Roman" w:ascii="Times New Roman" w:hAnsi="Times New Roman"/>
                <w:sz w:val="20"/>
              </w:rPr>
              <w:t>Jeff Sorenson</w:t>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853-5294</w:t>
            </w:r>
          </w:p>
        </w:tc>
      </w:tr>
    </w:tbl>
    <w:p>
      <w:pPr>
        <w:pStyle w:val="Normal"/>
        <w:rPr>
          <w:rFonts w:ascii="Times New Roman" w:hAnsi="Times New Roman" w:cs="Times New Roman"/>
          <w:b/>
          <w:sz w:val="20"/>
        </w:rPr>
      </w:pPr>
      <w:r>
        <w:rPr>
          <w:rFonts w:cs="Times New Roman" w:ascii="Times New Roman" w:hAnsi="Times New Roman"/>
          <w:b/>
          <w:sz w:val="20"/>
        </w:rPr>
      </w:r>
    </w:p>
    <w:p>
      <w:pPr>
        <w:pStyle w:val="Normal"/>
        <w:keepNext w:val="true"/>
        <w:rPr>
          <w:rFonts w:ascii="Times New Roman" w:hAnsi="Times New Roman" w:cs="Times New Roman"/>
          <w:b/>
          <w:sz w:val="24"/>
        </w:rPr>
      </w:pPr>
      <w:r>
        <w:rPr>
          <w:rFonts w:cs="Times New Roman" w:ascii="Times New Roman" w:hAnsi="Times New Roman"/>
          <w:b/>
          <w:sz w:val="24"/>
        </w:rPr>
        <w:t>BANKING RELATIONSHIPS</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Bank</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Number</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Officer</w:t>
            </w:r>
          </w:p>
        </w:tc>
      </w:tr>
      <w:tr>
        <w:trPr/>
        <w:tc>
          <w:tcPr>
            <w:tcW w:w="370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jc w:val="start"/>
              <w:rPr>
                <w:rFonts w:ascii="Times New Roman" w:hAnsi="Times New Roman" w:cs="Times New Roman"/>
                <w:sz w:val="20"/>
              </w:rPr>
            </w:pPr>
            <w:r>
              <w:rPr>
                <w:rFonts w:cs="Times New Roman" w:ascii="Times New Roman" w:hAnsi="Times New Roman"/>
                <w:sz w:val="20"/>
              </w:rPr>
              <w:t>Bank of America, N.A.</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3750494727</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Soja Haque</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WIRING INSTRUCTIONS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Bank of America, N.A. - Houston/P.O. Box 2518/Houston, Texas 77252-2518 Account Number /Route Code 3750494727 (Bank ABA No.) 111000012</w:t>
      </w:r>
    </w:p>
    <w:p>
      <w:pPr>
        <w:pStyle w:val="Normal"/>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b/>
          <w:sz w:val="24"/>
        </w:rPr>
      </w:pPr>
      <w:r>
        <w:rPr>
          <w:rFonts w:cs="Times New Roman" w:ascii="Times New Roman" w:hAnsi="Times New Roman"/>
          <w:b/>
          <w:sz w:val="24"/>
        </w:rPr>
        <w:t>MARGIN CONTACT</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3708"/>
        <w:gridCol w:w="2880"/>
        <w:gridCol w:w="2880"/>
      </w:tblGrid>
      <w:tr>
        <w:trPr/>
        <w:tc>
          <w:tcPr>
            <w:tcW w:w="37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28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37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3708" w:type="dxa"/>
            <w:tcBorders/>
          </w:tcPr>
          <w:p>
            <w:pPr>
              <w:pStyle w:val="Normal"/>
              <w:keepNext w:val="true"/>
              <w:rPr>
                <w:rFonts w:ascii="Times New Roman" w:hAnsi="Times New Roman" w:cs="Times New Roman"/>
                <w:sz w:val="20"/>
              </w:rPr>
            </w:pPr>
            <w:r>
              <w:rPr>
                <w:rFonts w:cs="Times New Roman" w:ascii="Times New Roman" w:hAnsi="Times New Roman"/>
                <w:sz w:val="20"/>
              </w:rPr>
              <w:t>Geri Gosnell</w:t>
            </w:r>
          </w:p>
        </w:tc>
        <w:tc>
          <w:tcPr>
            <w:tcW w:w="28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853-4898</w:t>
            </w:r>
          </w:p>
        </w:tc>
      </w:tr>
      <w:tr>
        <w:trPr/>
        <w:tc>
          <w:tcPr>
            <w:tcW w:w="3708" w:type="dxa"/>
            <w:tcBorders/>
          </w:tcPr>
          <w:p>
            <w:pPr>
              <w:pStyle w:val="Normal"/>
              <w:rPr>
                <w:rFonts w:ascii="Times New Roman" w:hAnsi="Times New Roman" w:cs="Times New Roman"/>
                <w:sz w:val="20"/>
              </w:rPr>
            </w:pPr>
            <w:r>
              <w:rPr>
                <w:rFonts w:cs="Times New Roman" w:ascii="Times New Roman" w:hAnsi="Times New Roman"/>
                <w:sz w:val="20"/>
              </w:rPr>
              <w:t>Robert Klein</w:t>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853-9792</w:t>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4"/>
        </w:rPr>
      </w:pPr>
      <w:r>
        <w:rPr>
          <w:rFonts w:cs="Times New Roman" w:ascii="Times New Roman" w:hAnsi="Times New Roman"/>
          <w:b/>
          <w:sz w:val="24"/>
        </w:rPr>
        <w:t>Officer's Certificate</w:t>
      </w:r>
    </w:p>
    <w:p>
      <w:pPr>
        <w:pStyle w:val="Normal"/>
        <w:rPr>
          <w:rFonts w:ascii="Times New Roman" w:hAnsi="Times New Roman" w:cs="Times New Roman"/>
          <w:b/>
          <w:sz w:val="20"/>
        </w:rPr>
      </w:pPr>
      <w:r>
        <w:rPr>
          <w:rFonts w:cs="Times New Roman" w:ascii="Times New Roman" w:hAnsi="Times New Roman"/>
          <w:b/>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undersigned, Theodore R. Murphy, Vice President of Risk Assessment and Control Group, a division of Enron Corp., an Oregon corporation, hereby certifies that attached hereto is a true and correct listing of corporate officers and authorized traders.  The attached listing supersedes and replaces the previous listing dated as of July 10, 1998.</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Executed and effective as of the 23rd day of August, 1999.</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ind w:start="4320" w:end="0"/>
        <w:rPr>
          <w:rFonts w:ascii="Times New Roman" w:hAnsi="Times New Roman" w:cs="Times New Roman"/>
          <w:sz w:val="20"/>
        </w:rPr>
      </w:pPr>
      <w:r>
        <w:rPr>
          <w:rFonts w:cs="Times New Roman" w:ascii="Times New Roman" w:hAnsi="Times New Roman"/>
          <w:sz w:val="20"/>
        </w:rPr>
        <w:t>__________________________________</w:t>
      </w:r>
    </w:p>
    <w:p>
      <w:pPr>
        <w:pStyle w:val="Normal"/>
        <w:ind w:start="4320" w:end="0"/>
        <w:rPr>
          <w:rFonts w:ascii="Times New Roman" w:hAnsi="Times New Roman" w:cs="Times New Roman"/>
          <w:sz w:val="20"/>
        </w:rPr>
      </w:pPr>
      <w:r>
        <w:rPr>
          <w:rFonts w:cs="Times New Roman" w:ascii="Times New Roman" w:hAnsi="Times New Roman"/>
          <w:sz w:val="20"/>
        </w:rPr>
        <w:t>Theodore R. Murphy</w:t>
      </w:r>
    </w:p>
    <w:p>
      <w:pPr>
        <w:pStyle w:val="Normal"/>
        <w:ind w:start="4320" w:end="0"/>
        <w:rPr>
          <w:rFonts w:ascii="Times New Roman" w:hAnsi="Times New Roman" w:cs="Times New Roman"/>
          <w:sz w:val="20"/>
        </w:rPr>
      </w:pPr>
      <w:r>
        <w:rPr>
          <w:rFonts w:cs="Times New Roman" w:ascii="Times New Roman" w:hAnsi="Times New Roman"/>
          <w:sz w:val="20"/>
        </w:rPr>
        <w:t>Vice President of Risk Assessment and</w:t>
      </w:r>
    </w:p>
    <w:p>
      <w:pPr>
        <w:pStyle w:val="Normal"/>
        <w:ind w:start="4320" w:end="0"/>
        <w:rPr>
          <w:rFonts w:ascii="Times New Roman" w:hAnsi="Times New Roman" w:cs="Times New Roman"/>
          <w:sz w:val="20"/>
        </w:rPr>
      </w:pPr>
      <w:r>
        <w:rPr>
          <w:rFonts w:cs="Times New Roman" w:ascii="Times New Roman" w:hAnsi="Times New Roman"/>
          <w:sz w:val="20"/>
        </w:rPr>
        <w:t>Control Group, a division of Enron Corp.</w:t>
      </w:r>
    </w:p>
    <w:p>
      <w:pPr>
        <w:pStyle w:val="Normal"/>
        <w:rPr>
          <w:rFonts w:ascii="Times New Roman" w:hAnsi="Times New Roman" w:cs="Times New Roman"/>
          <w:sz w:val="20"/>
        </w:rPr>
      </w:pPr>
      <w:r>
        <w:rPr>
          <w:rFonts w:cs="Times New Roman" w:ascii="Times New Roman" w:hAnsi="Times New Roman"/>
          <w:sz w:val="20"/>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16"/>
      </w:rPr>
      <w:t>8/23/99</w:t>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/mnt/main-storage/datasets/enron-docs/doc/ECT__TRADING_Commodity_-4f44d14cb22eec5203da32332d0c4ca530883eca47d1b86c2eca3815b81512f1.DOC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ECT__TRADING_Commodity_-4f44d14cb22eec5203da32332d0c4ca530883eca47d1b86c2eca3815b81512f1.DOC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w:hAnsi="Times" w:eastAsia="Times New Roman" w:cs="Times"/>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1999-07-30T18:01:00Z</dcterms:created>
  <dc:creator>tjones</dc:creator>
  <dc:description/>
  <cp:keywords>Authorized Officers and Traders</cp:keywords>
  <dc:language>en-CA</dc:language>
  <cp:lastModifiedBy>sflynn2</cp:lastModifiedBy>
  <cp:lastPrinted>1999-08-25T11:31:00Z</cp:lastPrinted>
  <dcterms:modified xsi:type="dcterms:W3CDTF">1999-08-25T14:07:00Z</dcterms:modified>
  <cp:revision>64</cp:revision>
  <dc:subject>Authorized Officers and Traders</dc:subject>
  <dc:title>Authorized Officers and Traders</dc:title>
</cp:coreProperties>
</file>