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The parties shall engage in transactions ("Transaction") in accordance with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Enron North America Corp. ("Enron"). All Transactions between the parties shall be considered a single integrated agreement governed by this GTC. This GTC, each Transaction and the rights and duties of the parties arising herefrom shall be governed by the laws of Texas. 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spacing w:before="100" w:after="100"/>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1999-09-08T08:08:00Z</dcterms:created>
  <dc:creator>NEdmonds</dc:creator>
  <dc:description/>
  <dc:language>en-CA</dc:language>
  <cp:lastModifiedBy>Edmund Cooper</cp:lastModifiedBy>
  <dcterms:modified xsi:type="dcterms:W3CDTF">1999-09-08T08:08:00Z</dcterms:modified>
  <cp:revision>2</cp:revision>
  <dc:subject/>
  <dc:title>ENFOLIO® "SPOT"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