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ENRON NORTH AMERICA CORP.</w:t>
      </w:r>
    </w:p>
    <w:p>
      <w:pPr>
        <w:pStyle w:val="Normal"/>
        <w:jc w:val="center"/>
        <w:rPr>
          <w:rFonts w:ascii="Arial Narrow" w:hAnsi="Arial Narrow" w:cs="Arial Narrow"/>
          <w:b/>
          <w:sz w:val="18"/>
        </w:rPr>
      </w:pPr>
      <w:r>
        <w:rPr>
          <w:rFonts w:cs="Arial Narrow" w:ascii="Arial Narrow" w:hAnsi="Arial Narrow"/>
          <w:b/>
          <w:sz w:val="18"/>
        </w:rPr>
        <w:t>"SPOT" GENERAL TERMS &amp; CONDITIONS</w:t>
      </w:r>
    </w:p>
    <w:p>
      <w:pPr>
        <w:pStyle w:val="Normal"/>
        <w:jc w:val="both"/>
        <w:rPr/>
      </w:pPr>
      <w:r>
        <w:rPr>
          <w:rFonts w:cs="Arial Narrow" w:ascii="Arial Narrow" w:hAnsi="Arial Narrow"/>
          <w:b/>
          <w:sz w:val="18"/>
          <w:u w:val="single"/>
        </w:rPr>
        <w:t>1. Transactions</w:t>
      </w:r>
      <w:r>
        <w:rPr>
          <w:rFonts w:cs="Arial Narrow" w:ascii="Arial Narrow" w:hAnsi="Arial Narrow"/>
          <w:sz w:val="18"/>
        </w:rPr>
        <w:t>. The parties shall engage in transactions in accordance with these terms and conditions (this "</w:t>
      </w:r>
      <w:r>
        <w:rPr>
          <w:rFonts w:cs="Arial Narrow" w:ascii="Arial Narrow" w:hAnsi="Arial Narrow"/>
          <w:sz w:val="18"/>
          <w:u w:val="single"/>
        </w:rPr>
        <w:t>Spot GTC</w:t>
      </w:r>
      <w:r>
        <w:rPr>
          <w:rFonts w:cs="Arial Narrow" w:ascii="Arial Narrow" w:hAnsi="Arial Narrow"/>
          <w:sz w:val="18"/>
        </w:rPr>
        <w:t>") and the terms, set forth in the website referencing this Spot GTC, submitted by Counterparty and accepted by Enron North America Corp. (“Enron”).  All transactions between the parties shall be considered a single integrated agreement governed by this Spot GTC. This Spot GTC, each transaction and the rights and duties of the parties arising herefrom shall be governed by the laws of Texas.</w:t>
      </w:r>
      <w:r>
        <w:rPr>
          <w:rFonts w:cs="Arial Narrow" w:ascii="Arial Narrow" w:hAnsi="Arial Narrow"/>
          <w:caps/>
          <w:sz w:val="18"/>
        </w:rPr>
        <w:t xml:space="preserve">  </w:t>
      </w:r>
      <w:r>
        <w:rPr>
          <w:rFonts w:cs="Arial Narrow" w:ascii="Arial Narrow" w:hAnsi="Arial Narrow"/>
          <w:sz w:val="18"/>
        </w:rPr>
        <w:t xml:space="preserve">The </w:t>
      </w:r>
      <w:r>
        <w:rPr>
          <w:rFonts w:cs="Arial Narrow" w:ascii="Arial Narrow" w:hAnsi="Arial Narrow"/>
          <w:b/>
          <w:sz w:val="18"/>
        </w:rPr>
        <w:t>DCQ</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as provided in each transaction.  Each transaction shall indicate the "</w:t>
      </w:r>
      <w:r>
        <w:rPr>
          <w:rFonts w:cs="Arial Narrow" w:ascii="Arial Narrow" w:hAnsi="Arial Narrow"/>
          <w:sz w:val="18"/>
          <w:u w:val="single"/>
        </w:rPr>
        <w:t>Tier</w:t>
      </w:r>
      <w:r>
        <w:rPr>
          <w:rFonts w:cs="Arial Narrow" w:ascii="Arial Narrow" w:hAnsi="Arial Narrow"/>
          <w:sz w:val="18"/>
        </w:rPr>
        <w:t>" of gas applicable to the DCQ during  the Period of Delivery:</w:t>
      </w:r>
    </w:p>
    <w:p>
      <w:pPr>
        <w:pStyle w:val="Normal"/>
        <w:ind w:end="-36"/>
        <w:jc w:val="both"/>
        <w:rPr/>
      </w:pPr>
      <w:r>
        <w:rPr>
          <w:rFonts w:cs="Arial Narrow" w:ascii="Arial Narrow" w:hAnsi="Arial Narrow"/>
          <w:sz w:val="18"/>
        </w:rPr>
        <w:t>"</w:t>
      </w:r>
      <w:r>
        <w:rPr>
          <w:rFonts w:cs="Arial Narrow" w:ascii="Arial Narrow" w:hAnsi="Arial Narrow"/>
          <w:b/>
          <w:sz w:val="18"/>
          <w:u w:val="single"/>
        </w:rPr>
        <w:t>Interruptible Gas</w:t>
      </w:r>
      <w:r>
        <w:rPr>
          <w:rFonts w:cs="Arial Narrow" w:ascii="Arial Narrow" w:hAnsi="Arial Narrow"/>
          <w:sz w:val="18"/>
        </w:rPr>
        <w:t>"--subject hereto, both parties may without liability interrupt, in whole or in part, scheduling the DCQ in accordance with the provisions hereof for any reason; or "</w:t>
      </w:r>
      <w:r>
        <w:rPr>
          <w:rFonts w:cs="Arial Narrow" w:ascii="Arial Narrow" w:hAnsi="Arial Narrow"/>
          <w:b/>
          <w:sz w:val="18"/>
          <w:u w:val="single"/>
        </w:rPr>
        <w:t>Firm Gas</w:t>
      </w:r>
      <w:r>
        <w:rPr>
          <w:rFonts w:cs="Arial Narrow" w:ascii="Arial Narrow" w:hAnsi="Arial Narrow"/>
          <w:sz w:val="18"/>
        </w:rPr>
        <w:t xml:space="preserve">"--subject hereto, both parties are firmly obligated to schedule the DCQ for a period less than or equal to one month.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b/>
          <w:sz w:val="18"/>
          <w:u w:val="single"/>
        </w:rPr>
        <w:t>2.1. Tier 1 Interruptible Gas</w:t>
      </w:r>
      <w:r>
        <w:rPr>
          <w:rFonts w:cs="Arial Narrow" w:ascii="Arial Narrow" w:hAnsi="Arial Narrow"/>
          <w:sz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Narrow" w:ascii="Arial Narrow" w:hAnsi="Arial Narrow"/>
          <w:b/>
          <w:sz w:val="18"/>
          <w:u w:val="single"/>
        </w:rPr>
        <w:t>2.2. Interruption Without Notice</w:t>
      </w:r>
      <w:r>
        <w:rPr>
          <w:rFonts w:cs="Arial Narrow" w:ascii="Arial Narrow" w:hAnsi="Arial Narrow"/>
          <w:b/>
          <w:sz w:val="18"/>
        </w:rPr>
        <w:t xml:space="preserve"> </w:t>
      </w:r>
      <w:r>
        <w:rPr>
          <w:rFonts w:cs="Arial Narrow" w:ascii="Arial Narrow" w:hAnsi="Arial Narrow"/>
          <w:sz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cs="Arial Narrow"/>
          <w:sz w:val="18"/>
        </w:rPr>
      </w:pPr>
      <w:r>
        <w:rPr>
          <w:rFonts w:cs="Arial Narrow" w:ascii="Arial Narrow" w:hAnsi="Arial Narrow"/>
          <w:b/>
          <w:sz w:val="18"/>
          <w:u w:val="single"/>
        </w:rPr>
        <w:t>2.3. Tier 3 Firm Gas</w:t>
      </w:r>
      <w:r>
        <w:rPr>
          <w:rFonts w:cs="Arial Narrow" w:ascii="Arial Narrow" w:hAnsi="Arial Narrow"/>
          <w:sz w:val="18"/>
        </w:rPr>
        <w:t xml:space="preserve"> Each of Seller and Buyer shall schedule at the Delivery Point(s) each day on a firm basis a quantity of gas equal to the DCQ.  If on any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color w:val="000000"/>
          <w:sz w:val="18"/>
        </w:rPr>
        <w:t>"</w:t>
      </w:r>
      <w:r>
        <w:rPr>
          <w:rFonts w:cs="Arial Narrow" w:ascii="Arial Narrow" w:hAnsi="Arial Narrow"/>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Payments/Early Termination</w:t>
      </w:r>
      <w:r>
        <w:rPr>
          <w:rFonts w:cs="Arial Narrow" w:ascii="Arial Narrow" w:hAnsi="Arial Narrow"/>
          <w:sz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Narrow" w:ascii="Arial Narrow" w:hAnsi="Arial Narrow"/>
          <w:b/>
          <w:sz w:val="18"/>
          <w:u w:val="single"/>
        </w:rPr>
        <w:t>4. 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other than payment,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the obligations of the party giving such notice, to the extent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5. Taxes</w:t>
      </w:r>
      <w:r>
        <w:rPr>
          <w:rFonts w:cs="Arial Narrow" w:ascii="Arial Narrow" w:hAnsi="Arial Narrow"/>
          <w:sz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6. Title/Risk of Loss/Imbalances</w:t>
      </w:r>
      <w:r>
        <w:rPr>
          <w:rFonts w:cs="Arial Narrow" w:ascii="Arial Narrow" w:hAnsi="Arial Narrow"/>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caps/>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b/>
          <w:sz w:val="18"/>
        </w:rPr>
        <w:t xml:space="preserve">.  </w:t>
      </w:r>
      <w:r>
        <w:rPr>
          <w:rFonts w:cs="Arial Narrow" w:ascii="Arial Narrow" w:hAnsi="Arial Narrow"/>
          <w:sz w:val="18"/>
        </w:rPr>
        <w:t xml:space="preserve">Differences between scheduled and actual quantities will be settled in cash or gas or by offset as agreed.  </w:t>
      </w:r>
    </w:p>
    <w:p>
      <w:pPr>
        <w:pStyle w:val="Normal"/>
        <w:jc w:val="both"/>
        <w:rPr/>
      </w:pPr>
      <w:r>
        <w:rPr>
          <w:rFonts w:cs="Arial Narrow" w:ascii="Arial Narrow" w:hAnsi="Arial Narrow"/>
          <w:b/>
          <w:sz w:val="18"/>
          <w:u w:val="single"/>
        </w:rPr>
        <w:t>7. Operations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Section 2</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Section 2</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Narrow" w:ascii="Arial Narrow" w:hAnsi="Arial Narrow"/>
          <w:b/>
          <w:sz w:val="18"/>
          <w:u w:val="single"/>
        </w:rPr>
        <w:t>8.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cs="Arial Narrow" w:ascii="Arial Narrow" w:hAnsi="Arial Narrow"/>
          <w:b/>
          <w:caps/>
          <w:sz w:val="18"/>
          <w:u w:val="single"/>
        </w:rPr>
        <w:t>9. Damages</w:t>
      </w:r>
      <w:r>
        <w:rPr>
          <w:rFonts w:cs="Arial Narrow" w:ascii="Arial Narrow" w:hAnsi="Arial Narrow"/>
          <w:caps/>
          <w:sz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sectPr>
      <w:footerReference w:type="default" r:id="rId2"/>
      <w:type w:val="nextPage"/>
      <w:pgSz w:w="12240" w:h="15840"/>
      <w:pgMar w:left="576" w:right="576" w:gutter="0" w:header="0" w:top="432"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sz w:val="16"/>
      </w:rPr>
    </w:pPr>
    <w:r>
      <w:rPr>
        <w:sz w:val="16"/>
      </w:rPr>
      <w:t>o:\common\legal\sdickson\contracts\intntect.doc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1999-08-04T21:32:00Z</dcterms:created>
  <dc:creator>vv24f</dc:creator>
  <dc:description/>
  <dc:language>en-CA</dc:language>
  <cp:lastModifiedBy>mtaylo1</cp:lastModifiedBy>
  <cp:lastPrinted>1999-07-30T16:03:00Z</cp:lastPrinted>
  <dcterms:modified xsi:type="dcterms:W3CDTF">1999-08-04T21:32:00Z</dcterms:modified>
  <cp:revision>2</cp:revision>
  <dc:subject/>
  <dc:title>ENFOLIO® "SPOT" GENERAL TERMS &amp; CONDITIONS  </dc:title>
</cp:coreProperties>
</file>