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t>Version 1 - August 10, 1999</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FIRM GENERAL TERMS &amp; CONDITIONS ("GTC")</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pursuant to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Enron. All Transactions between the parties shall be considered a single master agreement governed by this GTC. The </w:t>
      </w:r>
      <w:r>
        <w:rPr>
          <w:rFonts w:cs="Arial" w:ascii="Arial" w:hAnsi="Arial"/>
          <w:b/>
          <w:sz w:val="20"/>
        </w:rPr>
        <w:t>Daily Contract Quantity</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w:t>
      </w:r>
    </w:p>
    <w:p>
      <w:pPr>
        <w:pStyle w:val="Normal"/>
        <w:jc w:val="both"/>
        <w:rPr/>
      </w:pPr>
      <w:r>
        <w:rPr>
          <w:rFonts w:cs="Arial" w:ascii="Arial" w:hAnsi="Arial"/>
          <w:sz w:val="20"/>
        </w:rPr>
        <w:t>2.</w:t>
        <w:tab/>
      </w:r>
      <w:r>
        <w:rPr>
          <w:rFonts w:cs="Arial" w:ascii="Arial" w:hAnsi="Arial"/>
          <w:b/>
          <w:sz w:val="20"/>
          <w:u w:val="single"/>
        </w:rPr>
        <w:t>Quantity Obligations</w:t>
      </w:r>
      <w:r>
        <w:rPr>
          <w:rFonts w:cs="Arial" w:ascii="Arial" w:hAnsi="Arial"/>
          <w:sz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u w:val="single"/>
        </w:rPr>
        <w:t>sum</w:t>
      </w:r>
      <w:r>
        <w:rPr>
          <w:rFonts w:cs="Arial" w:ascii="Arial" w:hAnsi="Arial"/>
          <w:sz w:val="20"/>
        </w:rPr>
        <w:t xml:space="preserve"> of the product of the Default Quantity multiplied by the Replacement Price Differential </w:t>
      </w:r>
      <w:r>
        <w:rPr>
          <w:rFonts w:cs="Arial" w:ascii="Arial" w:hAnsi="Arial"/>
          <w:sz w:val="20"/>
          <w:u w:val="single"/>
        </w:rPr>
        <w:t>plus</w:t>
      </w:r>
      <w:r>
        <w:rPr>
          <w:rFonts w:cs="Arial" w:ascii="Arial" w:hAnsi="Arial"/>
          <w:sz w:val="20"/>
        </w:rPr>
        <w:t xml:space="preserve"> liquidated damages equal to $0.15 multiplied by the Default Quantity.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sz w:val="20"/>
        </w:rPr>
        <w:t>3.</w:t>
        <w:tab/>
      </w:r>
      <w:r>
        <w:rPr>
          <w:rFonts w:cs="Arial" w:ascii="Arial" w:hAnsi="Arial"/>
          <w:b/>
          <w:sz w:val="20"/>
          <w:u w:val="single"/>
        </w:rPr>
        <w:t>Early Termination</w:t>
      </w:r>
      <w:r>
        <w:rPr>
          <w:rFonts w:cs="Arial" w:ascii="Arial" w:hAnsi="Arial"/>
          <w:sz w:val="20"/>
        </w:rPr>
        <w:t>. If a Triggering Event occurs with respect to either party during a Period of Delivery, the other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this GTC will terminate ("</w:t>
      </w:r>
      <w:r>
        <w:rPr>
          <w:rFonts w:cs="Arial" w:ascii="Arial" w:hAnsi="Arial"/>
          <w:sz w:val="20"/>
          <w:u w:val="single"/>
        </w:rPr>
        <w:t>Early Termination Date</w:t>
      </w:r>
      <w:r>
        <w:rPr>
          <w:rFonts w:cs="Arial" w:ascii="Arial" w:hAnsi="Arial"/>
          <w:sz w:val="20"/>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Terminarion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means, with respect to a party (the "</w:t>
      </w:r>
      <w:r>
        <w:rPr>
          <w:rFonts w:cs="Arial" w:ascii="Arial" w:hAnsi="Arial"/>
          <w:sz w:val="20"/>
          <w:u w:val="single"/>
        </w:rPr>
        <w:t>Affected Party</w:t>
      </w:r>
      <w:r>
        <w:rPr>
          <w:rFonts w:cs="Arial" w:ascii="Arial" w:hAnsi="Arial"/>
          <w:sz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w:ascii="Arial" w:hAnsi="Arial"/>
          <w:sz w:val="20"/>
        </w:rPr>
        <w:t>4.</w:t>
        <w:tab/>
      </w:r>
      <w:r>
        <w:rPr>
          <w:rFonts w:cs="Arial" w:ascii="Arial" w:hAnsi="Arial"/>
          <w:b/>
          <w:sz w:val="20"/>
          <w:u w:val="single"/>
        </w:rPr>
        <w:t>Other Events</w:t>
      </w:r>
      <w:r>
        <w:rPr>
          <w:rFonts w:cs="Arial" w:ascii="Arial" w:hAnsi="Arial"/>
          <w:sz w:val="20"/>
        </w:rPr>
        <w:t>. If the Affected Party's activities become subject to regulation of any kind (other than with respect to New Taxes) to a different extent than that existing at the Firm Confirmation date (the "</w:t>
      </w:r>
      <w:r>
        <w:rPr>
          <w:rFonts w:cs="Arial" w:ascii="Arial" w:hAnsi="Arial"/>
          <w:sz w:val="20"/>
          <w:u w:val="single"/>
        </w:rPr>
        <w:t>Confirm Date</w:t>
      </w:r>
      <w:r>
        <w:rPr>
          <w:rFonts w:cs="Arial" w:ascii="Arial" w:hAnsi="Arial"/>
          <w:sz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w:ascii="Arial" w:hAnsi="Arial"/>
          <w:sz w:val="20"/>
        </w:rPr>
        <w:t>5.</w:t>
        <w:tab/>
      </w:r>
      <w:r>
        <w:rPr>
          <w:rFonts w:cs="Arial" w:ascii="Arial" w:hAnsi="Arial"/>
          <w:b/>
          <w:sz w:val="20"/>
          <w:u w:val="single"/>
        </w:rPr>
        <w:t>Operations and Delivery</w:t>
      </w:r>
      <w:r>
        <w:rPr>
          <w:rFonts w:cs="Arial" w:ascii="Arial" w:hAnsi="Arial"/>
          <w:sz w:val="20"/>
        </w:rPr>
        <w:t>.</w:t>
      </w:r>
      <w:r>
        <w:rPr>
          <w:rFonts w:cs="Arial" w:ascii="Arial" w:hAnsi="Arial"/>
          <w:b/>
          <w:sz w:val="20"/>
        </w:rPr>
        <w:t xml:space="preserve"> </w:t>
      </w:r>
      <w:r>
        <w:rPr>
          <w:rFonts w:cs="Arial" w:ascii="Arial" w:hAnsi="Arial"/>
          <w:sz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w:ascii="Arial" w:hAnsi="Arial"/>
          <w:sz w:val="20"/>
        </w:rPr>
        <w:t>6.</w:t>
        <w:tab/>
      </w:r>
      <w:r>
        <w:rPr>
          <w:rFonts w:cs="Arial" w:ascii="Arial" w:hAnsi="Arial"/>
          <w:b/>
          <w:sz w:val="20"/>
          <w:u w:val="single"/>
        </w:rPr>
        <w:t>Payments</w:t>
      </w:r>
      <w:r>
        <w:rPr>
          <w:rFonts w:cs="Arial" w:ascii="Arial" w:hAnsi="Arial"/>
          <w:sz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
        <w:jc w:val="both"/>
        <w:rPr/>
      </w:pPr>
      <w:r>
        <w:rPr>
          <w:rFonts w:cs="Arial" w:ascii="Arial" w:hAnsi="Arial"/>
          <w:sz w:val="20"/>
        </w:rPr>
        <w:t>7.</w:t>
        <w:tab/>
      </w:r>
      <w:r>
        <w:rPr>
          <w:rFonts w:cs="Arial" w:ascii="Arial" w:hAnsi="Arial"/>
          <w:b/>
          <w:sz w:val="20"/>
          <w:u w:val="single"/>
        </w:rPr>
        <w:t>Taxes</w:t>
      </w:r>
      <w:r>
        <w:rPr>
          <w:rFonts w:cs="Arial" w:ascii="Arial" w:hAnsi="Arial"/>
          <w:sz w:val="20"/>
        </w:rPr>
        <w:t>.</w:t>
      </w:r>
      <w:r>
        <w:rPr>
          <w:rFonts w:cs="Arial" w:ascii="Arial" w:hAnsi="Arial"/>
          <w:b/>
          <w:sz w:val="20"/>
        </w:rPr>
        <w:t xml:space="preserve"> </w:t>
      </w:r>
      <w:r>
        <w:rPr>
          <w:rFonts w:cs="Arial" w:ascii="Arial" w:hAnsi="Arial"/>
          <w:sz w:val="20"/>
        </w:rPr>
        <w:t>The Contract Price includes full reimbursement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w:ascii="Arial" w:hAnsi="Arial"/>
          <w:sz w:val="20"/>
          <w:u w:val="single"/>
        </w:rPr>
        <w:t>New Tax</w:t>
      </w:r>
      <w:r>
        <w:rPr>
          <w:rFonts w:cs="Arial" w:ascii="Arial" w:hAnsi="Arial"/>
          <w:sz w:val="20"/>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w:ascii="Arial" w:hAnsi="Arial"/>
          <w:sz w:val="20"/>
        </w:rPr>
        <w:t>8.</w:t>
        <w:tab/>
      </w:r>
      <w:r>
        <w:rPr>
          <w:rFonts w:cs="Arial" w:ascii="Arial" w:hAnsi="Arial"/>
          <w:b/>
          <w:sz w:val="20"/>
          <w:u w:val="single"/>
        </w:rPr>
        <w:t>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for a period of up to 60 days. The party receiving notice of </w:t>
      </w:r>
      <w:r>
        <w:rPr>
          <w:rFonts w:cs="Arial" w:ascii="Arial" w:hAnsi="Arial"/>
          <w:sz w:val="20"/>
          <w:u w:val="single"/>
        </w:rPr>
        <w:t>Force Majeure</w:t>
      </w:r>
      <w:r>
        <w:rPr>
          <w:rFonts w:cs="Arial" w:ascii="Arial" w:hAnsi="Arial"/>
          <w:sz w:val="20"/>
        </w:rPr>
        <w:t xml:space="preserve"> may immediately take such action as it deems necessary at its expense for the entire 60 day period or any part thereof.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sz w:val="20"/>
        </w:rPr>
        <w:t>9.</w:t>
        <w:tab/>
      </w:r>
      <w:r>
        <w:rPr>
          <w:rFonts w:cs="Arial" w:ascii="Arial" w:hAnsi="Arial"/>
          <w:b/>
          <w:sz w:val="20"/>
          <w:u w:val="single"/>
        </w:rPr>
        <w:t>Title, Risk of Loss and Indemnity</w:t>
      </w:r>
      <w:r>
        <w:rPr>
          <w:rFonts w:cs="Arial"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u w:val="single"/>
        </w:rPr>
        <w:t>Imbalances</w:t>
      </w:r>
      <w:r>
        <w:rPr>
          <w:rFonts w:cs="Arial" w:ascii="Arial" w:hAnsi="Arial"/>
          <w:sz w:val="20"/>
        </w:rPr>
        <w:t xml:space="preserve">") will be corrected or settled in cash or gas or by offset as the parties agree. </w:t>
      </w:r>
    </w:p>
    <w:p>
      <w:pPr>
        <w:pStyle w:val="Normal"/>
        <w:jc w:val="both"/>
        <w:rPr/>
      </w:pPr>
      <w:r>
        <w:rPr>
          <w:rFonts w:cs="Arial" w:ascii="Arial" w:hAnsi="Arial"/>
          <w:sz w:val="20"/>
        </w:rPr>
        <w:t>10.</w:t>
        <w:tab/>
      </w:r>
      <w:r>
        <w:rPr>
          <w:rFonts w:cs="Arial" w:ascii="Arial" w:hAnsi="Arial"/>
          <w:b/>
          <w:sz w:val="20"/>
          <w:u w:val="single"/>
        </w:rPr>
        <w:t>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spacing w:before="100" w:after="100"/>
        <w:jc w:val="both"/>
        <w:rPr/>
      </w:pPr>
      <w:r>
        <w:rPr>
          <w:rFonts w:cs="Arial" w:ascii="Arial" w:hAnsi="Arial"/>
          <w:sz w:val="20"/>
        </w:rPr>
        <w:t>11.</w:t>
        <w:tab/>
      </w:r>
      <w:r>
        <w:rPr>
          <w:rFonts w:cs="Arial" w:ascii="Arial" w:hAnsi="Arial"/>
          <w:b/>
          <w:sz w:val="20"/>
          <w:u w:val="single"/>
        </w:rPr>
        <w:t>Damages/Law</w:t>
      </w:r>
      <w:r>
        <w:rPr>
          <w:rFonts w:cs="Arial" w:ascii="Arial" w:hAnsi="Arial"/>
          <w:sz w:val="20"/>
        </w:rPr>
        <w:t xml:space="preserve">. </w:t>
      </w:r>
      <w:r>
        <w:rPr>
          <w:rFonts w:cs="Arial" w:ascii="Arial" w:hAnsi="Arial"/>
          <w:b/>
          <w:sz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GTC, each Transaction and the rights and duties of the parties arising herefrom shall be governed by the laws of the state of Texas.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1999-09-08T11:02:00Z</dcterms:created>
  <dc:creator>NEdmonds</dc:creator>
  <dc:description/>
  <dc:language>en-CA</dc:language>
  <cp:lastModifiedBy>NEdmonds</cp:lastModifiedBy>
  <dcterms:modified xsi:type="dcterms:W3CDTF">1999-09-08T11:02:00Z</dcterms:modified>
  <cp:revision>2</cp:revision>
  <dc:subject/>
  <dc:title>ENFOLIO* FIRM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