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rFonts w:ascii="Garamond" w:hAnsi="Garamond" w:cs="Garamond"/>
          <w:sz w:val="22"/>
        </w:rPr>
      </w:pPr>
      <w:r>
        <w:rPr>
          <w:rFonts w:cs="Garamond" w:ascii="Garamond" w:hAnsi="Garamond"/>
          <w:sz w:val="22"/>
        </w:rPr>
        <w:t>ENRON CORP.</w:t>
      </w:r>
    </w:p>
    <w:p>
      <w:pPr>
        <w:pStyle w:val="Normal"/>
        <w:ind w:end="180"/>
        <w:jc w:val="center"/>
        <w:rPr>
          <w:rFonts w:ascii="Garamond" w:hAnsi="Garamond" w:cs="Garamond"/>
          <w:sz w:val="22"/>
        </w:rPr>
      </w:pPr>
      <w:r>
        <w:rPr>
          <w:rFonts w:cs="Garamond" w:ascii="Garamond" w:hAnsi="Garamond"/>
          <w:sz w:val="22"/>
          <w:u w:val="single"/>
        </w:rPr>
        <w:t>Guaranty</w:t>
      </w:r>
    </w:p>
    <w:p>
      <w:pPr>
        <w:pStyle w:val="Normal"/>
        <w:ind w:end="180"/>
        <w:jc w:val="both"/>
        <w:rPr>
          <w:rFonts w:ascii="Garamond" w:hAnsi="Garamond" w:cs="Garamond"/>
          <w:sz w:val="22"/>
        </w:rPr>
      </w:pPr>
      <w:r>
        <w:rPr>
          <w:rFonts w:cs="Garamond" w:ascii="Garamond" w:hAnsi="Garamond"/>
          <w:sz w:val="22"/>
        </w:rPr>
      </w:r>
    </w:p>
    <w:p>
      <w:pPr>
        <w:pStyle w:val="Normal"/>
        <w:ind w:firstLine="720" w:end="0"/>
        <w:jc w:val="both"/>
        <w:rPr>
          <w:rFonts w:ascii="Garamond" w:hAnsi="Garamond" w:cs="Garamond"/>
          <w:sz w:val="22"/>
        </w:rPr>
      </w:pPr>
      <w:r>
        <w:rPr>
          <w:rFonts w:cs="Garamond" w:ascii="Garamond" w:hAnsi="Garamond"/>
          <w:sz w:val="22"/>
        </w:rPr>
        <w:t>This Guaranty Agreement (the "Guaranty"), dated as of ________ is made and entered into by Enron Corp., an Oregon corporation ("Guarantor").</w:t>
      </w:r>
    </w:p>
    <w:p>
      <w:pPr>
        <w:pStyle w:val="Normal"/>
        <w:keepNext w:val="true"/>
        <w:jc w:val="center"/>
        <w:rPr>
          <w:rFonts w:ascii="Garamond" w:hAnsi="Garamond" w:cs="Garamond"/>
          <w:b/>
          <w:caps/>
          <w:sz w:val="22"/>
        </w:rPr>
      </w:pPr>
      <w:r>
        <w:rPr>
          <w:rFonts w:cs="Garamond" w:ascii="Garamond" w:hAnsi="Garamond"/>
          <w:b/>
          <w:caps/>
          <w:sz w:val="22"/>
        </w:rPr>
      </w:r>
    </w:p>
    <w:p>
      <w:pPr>
        <w:pStyle w:val="Normal"/>
        <w:keepNext w:val="true"/>
        <w:jc w:val="center"/>
        <w:rPr>
          <w:rFonts w:ascii="Garamond" w:hAnsi="Garamond" w:cs="Garamond"/>
          <w:b/>
          <w:caps/>
          <w:sz w:val="22"/>
        </w:rPr>
      </w:pPr>
      <w:r>
        <w:rPr>
          <w:rFonts w:cs="Garamond" w:ascii="Garamond" w:hAnsi="Garamond"/>
          <w:b/>
          <w:caps/>
          <w:sz w:val="22"/>
        </w:rPr>
        <w:t>W I T N E S S E T H:</w:t>
      </w:r>
    </w:p>
    <w:p>
      <w:pPr>
        <w:pStyle w:val="Normal"/>
        <w:spacing w:lineRule="atLeast" w:line="240"/>
        <w:jc w:val="both"/>
        <w:rPr>
          <w:rFonts w:ascii="Garamond" w:hAnsi="Garamond" w:cs="Garamond"/>
          <w:b/>
          <w:caps/>
          <w:sz w:val="22"/>
        </w:rPr>
      </w:pPr>
      <w:r>
        <w:rPr>
          <w:rFonts w:cs="Garamond" w:ascii="Garamond" w:hAnsi="Garamond"/>
          <w:b/>
          <w:caps/>
          <w:sz w:val="22"/>
        </w:rPr>
      </w:r>
    </w:p>
    <w:p>
      <w:pPr>
        <w:pStyle w:val="BodyTextIndent"/>
        <w:rPr>
          <w:rFonts w:ascii="Garamond" w:hAnsi="Garamond" w:cs="Garamond"/>
        </w:rPr>
      </w:pPr>
      <w:r>
        <w:rPr>
          <w:rFonts w:cs="Garamond" w:ascii="Garamond" w:hAnsi="Garamond"/>
        </w:rPr>
        <w:t xml:space="preserve">WHEREAS, ______________ ("Counterparty") and each of Enron Capital &amp; Trade Resources International Corp. and/or Enron Capital &amp; Trade Resources Limited (herein referred to individually or collectively as "the Enron Company") have entered into, or may from time to time, enter into transactions for the purchase, sale or exchange of energy commodities and/or cash-settled derivatives transactions relating to energy commodities (whether documented under a master agreement, a confirmation or other form of agreement) (such transactions, as the same may from time to time be modified, amended and supplemented, shall be referred to herein as the "Contracts"); and </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rFonts w:ascii="Garamond" w:hAnsi="Garamond" w:cs="Garamond"/>
          <w:sz w:val="22"/>
        </w:rPr>
      </w:pPr>
      <w:r>
        <w:rPr>
          <w:rFonts w:cs="Garamond" w:ascii="Garamond" w:hAnsi="Garamond"/>
          <w:sz w:val="22"/>
        </w:rPr>
        <w:t>WHEREAS, Guarantor will directly or indirectly benefit from the Contracts entered into, or in the future entered into, between the Enron Company and Counterparty;</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rFonts w:ascii="Garamond" w:hAnsi="Garamond" w:cs="Garamond"/>
          <w:sz w:val="22"/>
        </w:rPr>
      </w:pPr>
      <w:r>
        <w:rPr>
          <w:rFonts w:cs="Garamond" w:ascii="Garamond" w:hAnsi="Garamond"/>
          <w:sz w:val="22"/>
        </w:rPr>
        <w:t>NOW THEREFORE, in consideration of Counterparty entering into the Contracts, Guarantor hereby covenants and agrees as follows:</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1.</w:t>
        <w:tab/>
      </w:r>
      <w:r>
        <w:rPr>
          <w:rFonts w:cs="Garamond" w:ascii="Garamond" w:hAnsi="Garamond"/>
          <w:sz w:val="22"/>
          <w:u w:val="single"/>
        </w:rPr>
        <w:t>GUARANTY</w:t>
      </w:r>
      <w:r>
        <w:rPr>
          <w:rFonts w:cs="Garamond" w:ascii="Garamond" w:hAnsi="Garamond"/>
          <w:sz w:val="22"/>
        </w:rPr>
        <w:t>.  Subject to the provisions hereof, Guarantor hereby irrevocably and unconditionally guarantees the timely payment when due of the obligations of the Enron Company (the "Obligations") to Counterparty under the Contracts. The liability of Guarantor under the Guaranty shall be subject to the following:</w:t>
      </w:r>
    </w:p>
    <w:p>
      <w:pPr>
        <w:pStyle w:val="Normal"/>
        <w:spacing w:lineRule="exact" w:line="240" w:before="240" w:after="0"/>
        <w:ind w:hanging="720" w:start="2160" w:end="0"/>
        <w:jc w:val="both"/>
        <w:rPr>
          <w:rFonts w:ascii="Garamond" w:hAnsi="Garamond" w:cs="Garamond"/>
          <w:sz w:val="22"/>
        </w:rPr>
      </w:pPr>
      <w:r>
        <w:rPr>
          <w:rFonts w:cs="Garamond" w:ascii="Garamond" w:hAnsi="Garamond"/>
          <w:sz w:val="22"/>
        </w:rPr>
        <w:t>(a)</w:t>
        <w:tab/>
        <w:t>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hanging="720" w:start="2160" w:end="0"/>
        <w:jc w:val="both"/>
        <w:rPr>
          <w:rFonts w:ascii="Garamond" w:hAnsi="Garamond" w:cs="Garamond"/>
          <w:sz w:val="22"/>
        </w:rPr>
      </w:pPr>
      <w:r>
        <w:rPr>
          <w:rFonts w:cs="Garamond" w:ascii="Garamond" w:hAnsi="Garamond"/>
          <w:sz w:val="22"/>
        </w:rPr>
        <w:t>(b)</w:t>
        <w:tab/>
        <w:t>The aggregate amount covered by this Guaranty shall not exceed ________ (____).</w:t>
      </w:r>
    </w:p>
    <w:p>
      <w:pPr>
        <w:pStyle w:val="Normal"/>
        <w:spacing w:lineRule="exact" w:line="240" w:before="240" w:after="0"/>
        <w:ind w:firstLine="720" w:end="0"/>
        <w:jc w:val="both"/>
        <w:rPr>
          <w:rFonts w:ascii="Garamond" w:hAnsi="Garamond" w:cs="Garamond"/>
          <w:sz w:val="22"/>
        </w:rPr>
      </w:pPr>
      <w:r>
        <w:rPr>
          <w:rFonts w:cs="Garamond" w:ascii="Garamond" w:hAnsi="Garamond"/>
          <w:sz w:val="22"/>
        </w:rPr>
        <w:t xml:space="preserve">This Guaranty shall be a continuing guaranty and it shall remain in full force and effect (subject to Section 6 hereof) and shall be binding upon Guarantor, its successors and permitted assigns, until all amounts payable by the Enron Company under the Contracts have been validly, finally and irrevocably paid in full. </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2.</w:t>
        <w:tab/>
      </w:r>
      <w:r>
        <w:rPr>
          <w:rFonts w:cs="Garamond" w:ascii="Garamond" w:hAnsi="Garamond"/>
          <w:sz w:val="22"/>
          <w:u w:val="single"/>
        </w:rPr>
        <w:t>DEMANDS AND NOTICE</w:t>
      </w:r>
      <w:r>
        <w:rPr>
          <w:rFonts w:cs="Garamond" w:ascii="Garamond" w:hAnsi="Garamond"/>
          <w:sz w:val="22"/>
        </w:rPr>
        <w:t>. Upon the occurrence and during the continuance of an event of default (howsoever defined under the Contracts), if the Enron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Enron Company has failed to pay and an explanation of why such payment is due, with a specific statement that Counterparty is calling upon Guarantor to pay under this Guaranty. A Payment Demand satisfying the foregoing requirements shall be deemed sufficient notice to Guarantor that it must pay the Obligations within five (5) business days after its receipt of the Payment Demand. A single written Payment Demand shall be effective as to any specific default during the continuance of such default, until The Enron Company or Guarantor has cured such default, and additional written demands concerning such default shall not be required until such default is cured.</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3.</w:t>
        <w:tab/>
      </w:r>
      <w:r>
        <w:rPr>
          <w:rFonts w:cs="Garamond" w:ascii="Garamond" w:hAnsi="Garamond"/>
          <w:sz w:val="22"/>
          <w:u w:val="single"/>
        </w:rPr>
        <w:t>REPRESENTATIONS AND WARRANTIES</w:t>
      </w:r>
      <w:r>
        <w:rPr>
          <w:rFonts w:cs="Garamond" w:ascii="Garamond" w:hAnsi="Garamond"/>
          <w:sz w:val="22"/>
        </w:rPr>
        <w:t>.  Guarantor represents and warrants that:</w:t>
      </w:r>
    </w:p>
    <w:p>
      <w:pPr>
        <w:pStyle w:val="Normal"/>
        <w:spacing w:lineRule="exact" w:line="240" w:before="240" w:after="0"/>
        <w:ind w:hanging="720" w:start="2160" w:end="0"/>
        <w:jc w:val="both"/>
        <w:rPr>
          <w:rFonts w:ascii="Garamond" w:hAnsi="Garamond" w:cs="Garamond"/>
          <w:sz w:val="22"/>
        </w:rPr>
      </w:pPr>
      <w:r>
        <w:rPr>
          <w:rFonts w:cs="Garamond" w:ascii="Garamond" w:hAnsi="Garamond"/>
          <w:sz w:val="22"/>
        </w:rPr>
        <w:t>(a)</w:t>
        <w:tab/>
        <w:t xml:space="preserve">it is a corporation duly organized and validly existing under the laws of the jurisdiction of its incorporation and has the corporate power and authority to execute, deliver and carry out the terms and provisions of the Guaranty; </w:t>
      </w:r>
    </w:p>
    <w:p>
      <w:pPr>
        <w:pStyle w:val="Normal"/>
        <w:spacing w:lineRule="exact" w:line="240" w:before="240" w:after="0"/>
        <w:ind w:hanging="720" w:start="2160" w:end="0"/>
        <w:jc w:val="both"/>
        <w:rPr>
          <w:rFonts w:ascii="Garamond" w:hAnsi="Garamond" w:cs="Garamond"/>
          <w:sz w:val="22"/>
        </w:rPr>
      </w:pPr>
      <w:r>
        <w:rPr>
          <w:rFonts w:cs="Garamond" w:ascii="Garamond" w:hAnsi="Garamond"/>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hanging="720" w:start="2160" w:end="0"/>
        <w:jc w:val="both"/>
        <w:rPr>
          <w:rFonts w:ascii="Garamond" w:hAnsi="Garamond" w:cs="Garamond"/>
          <w:sz w:val="22"/>
        </w:rPr>
      </w:pPr>
      <w:r>
        <w:rPr>
          <w:rFonts w:cs="Garamond" w:ascii="Garamond" w:hAnsi="Garamond"/>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4.</w:t>
        <w:tab/>
      </w:r>
      <w:r>
        <w:rPr>
          <w:rFonts w:cs="Garamond" w:ascii="Garamond" w:hAnsi="Garamond"/>
          <w:sz w:val="22"/>
          <w:u w:val="single"/>
        </w:rPr>
        <w:t>SETOFFS AND COUNTERCLAIMS</w:t>
      </w:r>
      <w:r>
        <w:rPr>
          <w:rFonts w:cs="Garamond" w:ascii="Garamond" w:hAnsi="Garamond"/>
          <w:sz w:val="22"/>
        </w:rPr>
        <w:t>.  Without limiting Guarantor's own defenses and rights hereunder, Guarantor reserves to itself all rights, setoffs, counterclaims and other defenses to which the Enron Company or any other affiliate of Guarantor is or may be entitled to arising from or out of the Contracts or otherwise, except for defenses arising out of the bankruptcy, insolvency, dissolution or liquidation of the Enron Company.</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5.</w:t>
        <w:tab/>
      </w:r>
      <w:r>
        <w:rPr>
          <w:rFonts w:cs="Garamond" w:ascii="Garamond" w:hAnsi="Garamond"/>
          <w:sz w:val="22"/>
          <w:u w:val="single"/>
        </w:rPr>
        <w:t>AMENDMENT OF GUARANTY</w:t>
      </w:r>
      <w:r>
        <w:rPr>
          <w:rFonts w:cs="Garamond" w:ascii="Garamond" w:hAnsi="Garamond"/>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6.</w:t>
        <w:tab/>
      </w:r>
      <w:r>
        <w:rPr>
          <w:rFonts w:cs="Garamond" w:ascii="Garamond" w:hAnsi="Garamond"/>
          <w:sz w:val="22"/>
          <w:u w:val="single"/>
        </w:rPr>
        <w:t>WAIVERS</w:t>
      </w:r>
      <w:r>
        <w:rPr>
          <w:rFonts w:cs="Garamond" w:ascii="Garamond" w:hAnsi="Garamond"/>
          <w:sz w:val="22"/>
        </w:rPr>
        <w:t>.  Guarantor hereby waives (a) notice of acceptance of this Guaranty; (b) presentment and demand concerning the liabilities of Guarantor, except as expressly hereinabove set forth; and (c) any right to require that any action or proceeding be brought against the Enron Company or any other person, or except as expressly hereinabove set forth, to require that Counterparty seek enforcement of any performance against the Enron Company or any other person, prior to any action against Guarantor under the terms hereof.</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rFonts w:ascii="Garamond" w:hAnsi="Garamond" w:cs="Garamond"/>
          <w:sz w:val="22"/>
        </w:rPr>
      </w:pPr>
      <w:r>
        <w:rPr>
          <w:rFonts w:cs="Garamond" w:ascii="Garamond" w:hAnsi="Garamond"/>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rFonts w:ascii="Garamond" w:hAnsi="Garamond" w:cs="Garamond"/>
          <w:sz w:val="22"/>
        </w:rPr>
      </w:pPr>
      <w:r>
        <w:rPr>
          <w:rFonts w:cs="Garamond" w:ascii="Garamond" w:hAnsi="Garamond"/>
          <w:sz w:val="22"/>
        </w:rPr>
        <w:t>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rFonts w:ascii="Garamond" w:hAnsi="Garamond" w:cs="Garamond"/>
          <w:sz w:val="22"/>
        </w:rPr>
      </w:pPr>
      <w:r>
        <w:rPr>
          <w:rFonts w:cs="Garamond" w:ascii="Garamond" w:hAnsi="Garamond"/>
          <w:sz w:val="22"/>
        </w:rPr>
        <w:t>Guarantor may terminate this Guaranty by providing written notice of such termination to Counterparty. No such termination shall be effective until five (5) business days after receipt by Counterparty of such termination notice. No such termination shall affect Guarantor's liability with respect to any Contracts entered into prior to the time the termination is effective, which Contracts shall remain guaranteed pursuant to the terms of this Guaranty.</w:t>
      </w:r>
    </w:p>
    <w:p>
      <w:pPr>
        <w:pStyle w:val="Normal"/>
        <w:ind w:firstLine="720" w:end="0"/>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7.</w:t>
        <w:tab/>
      </w:r>
      <w:r>
        <w:rPr>
          <w:rFonts w:cs="Garamond" w:ascii="Garamond" w:hAnsi="Garamond"/>
          <w:sz w:val="22"/>
          <w:u w:val="single"/>
        </w:rPr>
        <w:t>NOTICE</w:t>
      </w:r>
      <w:r>
        <w:rPr>
          <w:rFonts w:cs="Garamond" w:ascii="Garamond" w:hAnsi="Garamond"/>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Garamond" w:hAnsi="Garamond" w:cs="Garamond"/>
          <w:sz w:val="22"/>
        </w:rPr>
      </w:pPr>
      <w:r>
        <w:rPr>
          <w:rFonts w:cs="Garamond" w:ascii="Garamond" w:hAnsi="Garamond"/>
          <w:sz w:val="22"/>
        </w:rPr>
      </w:r>
    </w:p>
    <w:p>
      <w:pPr>
        <w:pStyle w:val="Normal"/>
        <w:tabs>
          <w:tab w:val="clear" w:pos="720"/>
          <w:tab w:val="left" w:pos="2880" w:leader="none"/>
          <w:tab w:val="left" w:pos="6480" w:leader="none"/>
        </w:tabs>
        <w:spacing w:lineRule="exact" w:line="240"/>
        <w:ind w:start="720" w:end="0"/>
        <w:jc w:val="both"/>
        <w:rPr>
          <w:rFonts w:ascii="Garamond" w:hAnsi="Garamond" w:cs="Garamond"/>
          <w:sz w:val="22"/>
        </w:rPr>
      </w:pPr>
      <w:r>
        <w:rPr>
          <w:rFonts w:cs="Garamond" w:ascii="Garamond" w:hAnsi="Garamond"/>
          <w:sz w:val="22"/>
        </w:rPr>
        <w:t>To Counterparty:</w:t>
        <w:tab/>
        <w:t>____________</w:t>
        <w:tab/>
      </w:r>
    </w:p>
    <w:p>
      <w:pPr>
        <w:pStyle w:val="Normal"/>
        <w:tabs>
          <w:tab w:val="clear" w:pos="720"/>
          <w:tab w:val="left" w:pos="2880" w:leader="none"/>
          <w:tab w:val="left" w:pos="6480" w:leader="none"/>
        </w:tabs>
        <w:spacing w:lineRule="exact" w:line="240"/>
        <w:ind w:start="720" w:end="0"/>
        <w:jc w:val="both"/>
        <w:rPr>
          <w:rFonts w:ascii="Garamond" w:hAnsi="Garamond" w:cs="Garamond"/>
          <w:sz w:val="22"/>
        </w:rPr>
      </w:pPr>
      <w:r>
        <w:rPr>
          <w:rFonts w:cs="Garamond" w:ascii="Garamond" w:hAnsi="Garamond"/>
          <w:sz w:val="22"/>
        </w:rPr>
        <w:tab/>
        <w:t>____________</w:t>
      </w:r>
    </w:p>
    <w:p>
      <w:pPr>
        <w:pStyle w:val="Normal"/>
        <w:tabs>
          <w:tab w:val="clear" w:pos="720"/>
          <w:tab w:val="left" w:pos="2880" w:leader="none"/>
          <w:tab w:val="left" w:pos="6480" w:leader="none"/>
        </w:tabs>
        <w:spacing w:lineRule="exact" w:line="240"/>
        <w:ind w:start="720" w:end="0"/>
        <w:jc w:val="both"/>
        <w:rPr>
          <w:rFonts w:ascii="Garamond" w:hAnsi="Garamond" w:cs="Garamond"/>
          <w:sz w:val="22"/>
        </w:rPr>
      </w:pPr>
      <w:r>
        <w:rPr>
          <w:rFonts w:cs="Garamond" w:ascii="Garamond" w:hAnsi="Garamond"/>
          <w:sz w:val="22"/>
        </w:rPr>
        <w:tab/>
        <w:t>____________</w:t>
      </w:r>
    </w:p>
    <w:p>
      <w:pPr>
        <w:pStyle w:val="Normal"/>
        <w:tabs>
          <w:tab w:val="clear" w:pos="720"/>
          <w:tab w:val="left" w:pos="2880" w:leader="none"/>
          <w:tab w:val="left" w:pos="6480" w:leader="none"/>
        </w:tabs>
        <w:spacing w:lineRule="exact" w:line="240"/>
        <w:ind w:start="720" w:end="0"/>
        <w:jc w:val="both"/>
        <w:rPr>
          <w:rFonts w:ascii="Garamond" w:hAnsi="Garamond" w:cs="Garamond"/>
          <w:sz w:val="22"/>
        </w:rPr>
      </w:pPr>
      <w:r>
        <w:rPr>
          <w:rFonts w:cs="Garamond" w:ascii="Garamond" w:hAnsi="Garamond"/>
          <w:sz w:val="22"/>
        </w:rPr>
      </w:r>
    </w:p>
    <w:p>
      <w:pPr>
        <w:pStyle w:val="Normal"/>
        <w:tabs>
          <w:tab w:val="clear" w:pos="720"/>
          <w:tab w:val="left" w:pos="2880" w:leader="none"/>
          <w:tab w:val="left" w:pos="6480" w:leader="none"/>
        </w:tabs>
        <w:spacing w:lineRule="exact" w:line="240"/>
        <w:ind w:start="720" w:end="0"/>
        <w:jc w:val="both"/>
        <w:rPr>
          <w:rFonts w:ascii="Garamond" w:hAnsi="Garamond" w:cs="Garamond"/>
          <w:sz w:val="22"/>
        </w:rPr>
      </w:pPr>
      <w:r>
        <w:rPr>
          <w:rFonts w:cs="Garamond" w:ascii="Garamond" w:hAnsi="Garamond"/>
          <w:sz w:val="22"/>
        </w:rPr>
        <w:tab/>
        <w:t>Attn: _________</w:t>
      </w:r>
    </w:p>
    <w:p>
      <w:pPr>
        <w:pStyle w:val="Normal"/>
        <w:tabs>
          <w:tab w:val="clear" w:pos="720"/>
          <w:tab w:val="left" w:pos="6480" w:leader="none"/>
        </w:tabs>
        <w:spacing w:lineRule="exact" w:line="240"/>
        <w:ind w:start="2880" w:end="0"/>
        <w:jc w:val="both"/>
        <w:rPr>
          <w:rFonts w:ascii="Garamond" w:hAnsi="Garamond" w:cs="Garamond"/>
          <w:sz w:val="22"/>
        </w:rPr>
      </w:pPr>
      <w:r>
        <w:rPr>
          <w:rFonts w:cs="Garamond" w:ascii="Garamond" w:hAnsi="Garamond"/>
          <w:sz w:val="22"/>
        </w:rPr>
        <w:t>Fax No.:  ________</w:t>
      </w:r>
    </w:p>
    <w:p>
      <w:pPr>
        <w:pStyle w:val="Normal"/>
        <w:tabs>
          <w:tab w:val="clear" w:pos="720"/>
          <w:tab w:val="left" w:pos="2880" w:leader="none"/>
        </w:tabs>
        <w:spacing w:lineRule="exact" w:line="240" w:before="240" w:after="0"/>
        <w:ind w:start="720" w:end="0"/>
        <w:jc w:val="both"/>
        <w:rPr>
          <w:rFonts w:ascii="Garamond" w:hAnsi="Garamond" w:cs="Garamond"/>
          <w:sz w:val="22"/>
        </w:rPr>
      </w:pPr>
      <w:r>
        <w:rPr>
          <w:rFonts w:cs="Garamond" w:ascii="Garamond" w:hAnsi="Garamond"/>
          <w:sz w:val="22"/>
        </w:rPr>
        <w:t>To Guarantor:</w:t>
        <w:tab/>
        <w:t>Enron Corp.</w:t>
      </w:r>
    </w:p>
    <w:p>
      <w:pPr>
        <w:pStyle w:val="Normal"/>
        <w:spacing w:lineRule="exact" w:line="240"/>
        <w:ind w:start="2880" w:end="0"/>
        <w:jc w:val="both"/>
        <w:rPr>
          <w:rFonts w:ascii="Garamond" w:hAnsi="Garamond" w:cs="Garamond"/>
          <w:sz w:val="22"/>
        </w:rPr>
      </w:pPr>
      <w:r>
        <w:rPr>
          <w:rFonts w:cs="Garamond" w:ascii="Garamond" w:hAnsi="Garamond"/>
          <w:sz w:val="22"/>
        </w:rPr>
        <w:t>1400 Smith Street</w:t>
      </w:r>
    </w:p>
    <w:p>
      <w:pPr>
        <w:pStyle w:val="Normal"/>
        <w:spacing w:lineRule="exact" w:line="240"/>
        <w:ind w:start="2880" w:end="0"/>
        <w:jc w:val="both"/>
        <w:rPr>
          <w:rFonts w:ascii="Garamond" w:hAnsi="Garamond" w:cs="Garamond"/>
          <w:sz w:val="22"/>
        </w:rPr>
      </w:pPr>
      <w:r>
        <w:rPr>
          <w:rFonts w:cs="Garamond" w:ascii="Garamond" w:hAnsi="Garamond"/>
          <w:sz w:val="22"/>
        </w:rPr>
        <w:t>Houston, Texas 77002</w:t>
      </w:r>
    </w:p>
    <w:p>
      <w:pPr>
        <w:pStyle w:val="Normal"/>
        <w:spacing w:lineRule="exact" w:line="240"/>
        <w:ind w:start="2880" w:end="0"/>
        <w:jc w:val="both"/>
        <w:rPr>
          <w:rFonts w:ascii="Garamond" w:hAnsi="Garamond" w:cs="Garamond"/>
          <w:sz w:val="22"/>
        </w:rPr>
      </w:pPr>
      <w:r>
        <w:rPr>
          <w:rFonts w:cs="Garamond" w:ascii="Garamond" w:hAnsi="Garamond"/>
          <w:sz w:val="22"/>
        </w:rPr>
        <w:t>Attn: Vice President, Finance</w:t>
      </w:r>
    </w:p>
    <w:p>
      <w:pPr>
        <w:pStyle w:val="Normal"/>
        <w:spacing w:lineRule="exact" w:line="240"/>
        <w:ind w:start="2880" w:end="0"/>
        <w:jc w:val="both"/>
        <w:rPr>
          <w:rFonts w:ascii="Garamond" w:hAnsi="Garamond" w:cs="Garamond"/>
          <w:sz w:val="22"/>
        </w:rPr>
      </w:pPr>
      <w:r>
        <w:rPr>
          <w:rFonts w:cs="Garamond" w:ascii="Garamond" w:hAnsi="Garamond"/>
          <w:sz w:val="22"/>
        </w:rPr>
        <w:tab/>
        <w:t>and Treasurer</w:t>
      </w:r>
    </w:p>
    <w:p>
      <w:pPr>
        <w:pStyle w:val="Normal"/>
        <w:spacing w:lineRule="exact" w:line="240"/>
        <w:ind w:start="2880" w:end="0"/>
        <w:jc w:val="both"/>
        <w:rPr>
          <w:rFonts w:ascii="Garamond" w:hAnsi="Garamond" w:cs="Garamond"/>
          <w:sz w:val="22"/>
        </w:rPr>
      </w:pPr>
      <w:r>
        <w:rPr>
          <w:rFonts w:cs="Garamond" w:ascii="Garamond" w:hAnsi="Garamond"/>
          <w:sz w:val="22"/>
        </w:rPr>
        <w:t>Fax No.: 1-713-646-3422</w:t>
      </w:r>
    </w:p>
    <w:p>
      <w:pPr>
        <w:pStyle w:val="Normal"/>
        <w:spacing w:lineRule="exact" w:line="240"/>
        <w:ind w:start="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rFonts w:ascii="Garamond" w:hAnsi="Garamond" w:cs="Garamond"/>
          <w:sz w:val="22"/>
        </w:rPr>
      </w:pPr>
      <w:r>
        <w:rPr>
          <w:rFonts w:cs="Garamond" w:ascii="Garamond" w:hAnsi="Garamond"/>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8.</w:t>
        <w:tab/>
      </w:r>
      <w:r>
        <w:rPr>
          <w:rFonts w:cs="Garamond" w:ascii="Garamond" w:hAnsi="Garamond"/>
          <w:sz w:val="22"/>
          <w:u w:val="single"/>
        </w:rPr>
        <w:t>MISCELLANEOUS</w:t>
      </w:r>
      <w:r>
        <w:rPr>
          <w:rFonts w:cs="Garamond" w:ascii="Garamond" w:hAnsi="Garamond"/>
          <w:sz w:val="22"/>
        </w:rPr>
        <w:t xml:space="preserve">.  </w:t>
      </w:r>
      <w:r>
        <w:rPr>
          <w:rFonts w:cs="Garamond" w:ascii="Garamond" w:hAnsi="Garamond"/>
          <w:b/>
          <w:sz w:val="22"/>
        </w:rPr>
        <w:t>THIS GUARANTY SHALL IN ALL RESPECTS BE GOVERNED BY, AND CONSTRUED IN ACCORDANCE WITH, THE LAWS OF ENGLAND, AND GUARANTOR AND COUNTERPARTY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w:t>
      </w:r>
      <w:r>
        <w:rPr>
          <w:rFonts w:cs="Garamond" w:ascii="Garamond" w:hAnsi="Garamond"/>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firstLine="720" w:end="0"/>
        <w:jc w:val="both"/>
        <w:rPr/>
      </w:pPr>
      <w:r>
        <w:rPr>
          <w:rFonts w:cs="Garamond" w:ascii="Garamond" w:hAnsi="Garamond"/>
          <w:sz w:val="22"/>
        </w:rPr>
        <w:t xml:space="preserve">IN WITNESS WHEREOF, the Guarantor has executed this Guaranty on </w:t>
        <w:tab/>
      </w:r>
      <w:r>
        <w:rPr>
          <w:rFonts w:cs="Garamond" w:ascii="Garamond" w:hAnsi="Garamond"/>
          <w:sz w:val="22"/>
          <w:u w:val="single"/>
        </w:rPr>
        <w:tab/>
      </w:r>
      <w:r>
        <w:rPr>
          <w:rFonts w:cs="Garamond" w:ascii="Garamond" w:hAnsi="Garamond"/>
          <w:sz w:val="22"/>
        </w:rPr>
        <w:t>, 2000, but it is effective as of the date first above written.</w:t>
      </w:r>
    </w:p>
    <w:p>
      <w:pPr>
        <w:pStyle w:val="Normal"/>
        <w:spacing w:lineRule="atLeast" w:line="240"/>
        <w:ind w:firstLine="720" w:end="0"/>
        <w:jc w:val="both"/>
        <w:rPr>
          <w:rFonts w:ascii="Garamond" w:hAnsi="Garamond" w:cs="Garamond"/>
          <w:sz w:val="22"/>
        </w:rPr>
      </w:pPr>
      <w:r>
        <w:rPr>
          <w:rFonts w:cs="Garamond" w:ascii="Garamond" w:hAnsi="Garamond"/>
          <w:sz w:val="22"/>
        </w:rPr>
      </w:r>
    </w:p>
    <w:p>
      <w:pPr>
        <w:pStyle w:val="Normal"/>
        <w:spacing w:lineRule="atLeast" w:line="240"/>
        <w:ind w:start="5040" w:end="0"/>
        <w:jc w:val="both"/>
        <w:rPr>
          <w:rFonts w:ascii="Garamond" w:hAnsi="Garamond" w:cs="Garamond"/>
          <w:b/>
          <w:sz w:val="22"/>
        </w:rPr>
      </w:pPr>
      <w:r>
        <w:rPr>
          <w:rFonts w:cs="Garamond" w:ascii="Garamond" w:hAnsi="Garamond"/>
          <w:b/>
          <w:sz w:val="22"/>
        </w:rPr>
      </w:r>
    </w:p>
    <w:p>
      <w:pPr>
        <w:pStyle w:val="Normal"/>
        <w:spacing w:lineRule="atLeast" w:line="240"/>
        <w:ind w:start="5040" w:end="0"/>
        <w:jc w:val="both"/>
        <w:rPr>
          <w:rFonts w:ascii="Garamond" w:hAnsi="Garamond" w:cs="Garamond"/>
          <w:b/>
          <w:sz w:val="22"/>
        </w:rPr>
      </w:pPr>
      <w:r>
        <w:rPr>
          <w:rFonts w:cs="Garamond" w:ascii="Garamond" w:hAnsi="Garamond"/>
          <w:b/>
          <w:sz w:val="22"/>
        </w:rPr>
        <w:t>ENRON CORP.</w:t>
      </w:r>
    </w:p>
    <w:p>
      <w:pPr>
        <w:pStyle w:val="Normal"/>
        <w:spacing w:lineRule="atLeast" w:line="240"/>
        <w:ind w:start="5040" w:end="0"/>
        <w:jc w:val="both"/>
        <w:rPr>
          <w:rFonts w:ascii="Garamond" w:hAnsi="Garamond" w:cs="Garamond"/>
          <w:b/>
          <w:sz w:val="22"/>
        </w:rPr>
      </w:pPr>
      <w:r>
        <w:rPr>
          <w:rFonts w:cs="Garamond" w:ascii="Garamond" w:hAnsi="Garamond"/>
          <w:b/>
          <w:sz w:val="22"/>
        </w:rPr>
      </w:r>
    </w:p>
    <w:p>
      <w:pPr>
        <w:pStyle w:val="Normal"/>
        <w:spacing w:lineRule="atLeast" w:line="240"/>
        <w:ind w:start="5040" w:end="0"/>
        <w:jc w:val="both"/>
        <w:rPr>
          <w:rFonts w:ascii="Garamond" w:hAnsi="Garamond" w:cs="Garamond"/>
          <w:b/>
          <w:sz w:val="22"/>
        </w:rPr>
      </w:pPr>
      <w:r>
        <w:rPr>
          <w:rFonts w:cs="Garamond" w:ascii="Garamond" w:hAnsi="Garamond"/>
          <w:b/>
          <w:sz w:val="22"/>
        </w:rPr>
      </w:r>
    </w:p>
    <w:p>
      <w:pPr>
        <w:pStyle w:val="Normal"/>
        <w:spacing w:lineRule="atLeast" w:line="240"/>
        <w:ind w:start="5040" w:end="0"/>
        <w:jc w:val="both"/>
        <w:rPr>
          <w:rFonts w:ascii="Garamond" w:hAnsi="Garamond" w:cs="Garamond"/>
          <w:sz w:val="22"/>
        </w:rPr>
      </w:pPr>
      <w:r>
        <w:rPr>
          <w:rFonts w:cs="Garamond" w:ascii="Garamond" w:hAnsi="Garamond"/>
          <w:sz w:val="22"/>
        </w:rPr>
        <w:t xml:space="preserve">By:  </w:t>
      </w:r>
      <w:r>
        <w:rPr>
          <w:rFonts w:cs="Garamond" w:ascii="Garamond" w:hAnsi="Garamond"/>
          <w:sz w:val="22"/>
          <w:u w:val="single"/>
        </w:rPr>
        <w:tab/>
        <w:tab/>
        <w:tab/>
        <w:tab/>
        <w:tab/>
        <w:tab/>
      </w:r>
    </w:p>
    <w:p>
      <w:pPr>
        <w:pStyle w:val="Normal"/>
        <w:spacing w:lineRule="atLeast" w:line="240"/>
        <w:ind w:start="5040" w:end="0"/>
        <w:jc w:val="both"/>
        <w:rPr>
          <w:rFonts w:ascii="Garamond" w:hAnsi="Garamond" w:cs="Garamond"/>
          <w:sz w:val="22"/>
        </w:rPr>
      </w:pPr>
      <w:r>
        <w:rPr>
          <w:rFonts w:cs="Garamond" w:ascii="Garamond" w:hAnsi="Garamond"/>
          <w:sz w:val="22"/>
        </w:rPr>
        <w:t xml:space="preserve">Name:  </w:t>
      </w:r>
      <w:r>
        <w:rPr>
          <w:rFonts w:cs="Garamond" w:ascii="Garamond" w:hAnsi="Garamond"/>
          <w:sz w:val="22"/>
          <w:u w:val="single"/>
        </w:rPr>
        <w:tab/>
        <w:tab/>
        <w:tab/>
        <w:tab/>
        <w:tab/>
        <w:tab/>
      </w:r>
    </w:p>
    <w:p>
      <w:pPr>
        <w:pStyle w:val="Normal"/>
        <w:spacing w:lineRule="atLeast" w:line="240"/>
        <w:ind w:start="5040" w:end="0"/>
        <w:jc w:val="both"/>
        <w:rPr/>
      </w:pPr>
      <w:r>
        <w:rPr>
          <w:rFonts w:cs="Garamond" w:ascii="Garamond" w:hAnsi="Garamond"/>
          <w:sz w:val="22"/>
        </w:rPr>
        <w:t xml:space="preserve">Title:  </w:t>
      </w:r>
      <w:r>
        <w:rPr>
          <w:rFonts w:cs="Garamond" w:ascii="Garamond" w:hAnsi="Garamond"/>
          <w:sz w:val="22"/>
          <w:u w:val="single"/>
        </w:rPr>
        <w:tab/>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Garamond">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before="0" w:after="480"/>
      <w:jc w:val="center"/>
      <w:rPr>
        <w:sz w:val="26"/>
      </w:rPr>
    </w:pPr>
    <w:r>
      <w:rPr>
        <w:sz w:val="2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before="480" w:after="0"/>
      <w:rPr>
        <w:rFonts w:ascii="Courier New" w:hAnsi="Courier New" w:cs="Courier New"/>
        <w:sz w:val="14"/>
      </w:rPr>
    </w:pPr>
    <w:r>
      <w:rPr>
        <w:rFonts w:cs="Courier New" w:ascii="Courier New" w:hAnsi="Courier New"/>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48" w:leader="none"/>
        <w:tab w:val="right" w:pos="8712" w:leader="none"/>
      </w:tabs>
      <w:spacing w:lineRule="exact" w:line="240"/>
      <w:ind w:start="-576" w:end="-1800"/>
      <w:rPr>
        <w:rFonts w:ascii="Courier New" w:hAnsi="Courier New" w:cs="Courier New"/>
        <w:sz w:val="24"/>
      </w:rPr>
    </w:pPr>
    <w:r>
      <w:rPr>
        <w:rFonts w:cs="Courier New" w:ascii="Courier New" w:hAnsi="Courier New"/>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spacing w:lineRule="atLeast" w:line="240"/>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2000-09-29T09:00:00Z</dcterms:created>
  <dc:creator>Enron Europe</dc:creator>
  <dc:description>10/14/93</dc:description>
  <dc:language>en-CA</dc:language>
  <cp:lastModifiedBy>jboyd</cp:lastModifiedBy>
  <cp:lastPrinted>1997-08-15T15:15:00Z</cp:lastPrinted>
  <dcterms:modified xsi:type="dcterms:W3CDTF">2000-09-29T09:01:00Z</dcterms:modified>
  <cp:revision>4</cp:revision>
  <dc:subject>2nd Draft 8/10/93rmj</dc:subject>
  <dc:title>SCHEDULE TO THE MASTER AGREEMENT</dc:title>
</cp:coreProperties>
</file>