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sz w:val="24"/>
          <w:szCs w:val="24"/>
          <w:u w:val="single"/>
        </w:rPr>
      </w:pPr>
      <w:r>
        <w:rPr>
          <w:b/>
          <w:bCs/>
          <w:sz w:val="24"/>
          <w:szCs w:val="24"/>
          <w:u w:val="single"/>
        </w:rPr>
      </w:r>
    </w:p>
    <w:p>
      <w:pPr>
        <w:pStyle w:val="Normal"/>
        <w:jc w:val="center"/>
        <w:rPr>
          <w:b/>
          <w:bCs/>
          <w:sz w:val="24"/>
          <w:szCs w:val="24"/>
          <w:u w:val="single"/>
        </w:rPr>
      </w:pPr>
      <w:r>
        <w:rPr>
          <w:b/>
          <w:bCs/>
          <w:sz w:val="24"/>
          <w:szCs w:val="24"/>
          <w:u w:val="single"/>
        </w:rPr>
        <w:t>ENRON CAPITAL &amp; TRADE RESOURCES INTERNATIONAL CORP.</w:t>
      </w:r>
    </w:p>
    <w:p>
      <w:pPr>
        <w:pStyle w:val="Normal"/>
        <w:jc w:val="center"/>
        <w:rPr>
          <w:b/>
          <w:bCs/>
          <w:sz w:val="24"/>
          <w:szCs w:val="24"/>
          <w:u w:val="single"/>
        </w:rPr>
      </w:pPr>
      <w:r>
        <w:rPr>
          <w:b/>
          <w:bCs/>
          <w:sz w:val="24"/>
          <w:szCs w:val="24"/>
          <w:u w:val="single"/>
        </w:rPr>
      </w:r>
    </w:p>
    <w:p>
      <w:pPr>
        <w:pStyle w:val="Normal"/>
        <w:jc w:val="center"/>
        <w:rPr>
          <w:b/>
          <w:bCs/>
          <w:sz w:val="24"/>
          <w:szCs w:val="24"/>
          <w:u w:val="single"/>
        </w:rPr>
      </w:pPr>
      <w:r>
        <w:rPr>
          <w:b/>
          <w:bCs/>
          <w:sz w:val="24"/>
          <w:szCs w:val="24"/>
          <w:u w:val="single"/>
        </w:rPr>
      </w:r>
    </w:p>
    <w:p>
      <w:pPr>
        <w:pStyle w:val="Normal"/>
        <w:jc w:val="center"/>
        <w:rPr>
          <w:b/>
          <w:bCs/>
          <w:sz w:val="24"/>
          <w:szCs w:val="24"/>
          <w:u w:val="single"/>
        </w:rPr>
      </w:pPr>
      <w:r>
        <w:rPr>
          <w:b/>
          <w:bCs/>
          <w:sz w:val="24"/>
          <w:szCs w:val="24"/>
          <w:u w:val="single"/>
        </w:rPr>
        <w:t>Unanimous Consent of Directors</w:t>
      </w:r>
    </w:p>
    <w:p>
      <w:pPr>
        <w:pStyle w:val="Normal"/>
        <w:jc w:val="center"/>
        <w:rPr>
          <w:b/>
          <w:bCs/>
          <w:sz w:val="24"/>
          <w:szCs w:val="24"/>
          <w:u w:val="single"/>
        </w:rPr>
      </w:pPr>
      <w:r>
        <w:rPr>
          <w:b/>
          <w:bCs/>
          <w:sz w:val="24"/>
          <w:szCs w:val="24"/>
          <w:u w:val="single"/>
        </w:rPr>
      </w:r>
    </w:p>
    <w:p>
      <w:pPr>
        <w:pStyle w:val="Normal"/>
        <w:jc w:val="center"/>
        <w:rPr>
          <w:sz w:val="24"/>
          <w:szCs w:val="24"/>
          <w:u w:val="single"/>
        </w:rPr>
      </w:pPr>
      <w:r>
        <w:rPr>
          <w:sz w:val="24"/>
          <w:szCs w:val="24"/>
          <w:u w:val="single"/>
        </w:rPr>
      </w:r>
    </w:p>
    <w:p>
      <w:pPr>
        <w:pStyle w:val="Normal"/>
        <w:jc w:val="center"/>
        <w:rPr>
          <w:sz w:val="24"/>
          <w:szCs w:val="24"/>
          <w:u w:val="single"/>
        </w:rPr>
      </w:pPr>
      <w:r>
        <w:rPr>
          <w:sz w:val="24"/>
          <w:szCs w:val="24"/>
          <w:u w:val="single"/>
        </w:rPr>
      </w:r>
    </w:p>
    <w:p>
      <w:pPr>
        <w:pStyle w:val="Normal"/>
        <w:spacing w:lineRule="auto" w:line="480"/>
        <w:jc w:val="both"/>
        <w:rPr>
          <w:sz w:val="24"/>
          <w:szCs w:val="24"/>
        </w:rPr>
      </w:pPr>
      <w:r>
        <w:rPr>
          <w:sz w:val="24"/>
          <w:szCs w:val="24"/>
        </w:rPr>
        <w:tab/>
        <w:t>The undersigned, constituting all of the directors of Enron Capital &amp; Trade Resources International Corp., a Delaware corporation (the "Company"), do hereby consent to the adoption of the following resolutions and, upon execution of this consent or a counterpart hereof by each of the directors listed below, do hereby adopt such resolutions:</w:t>
        <w:tab/>
      </w:r>
    </w:p>
    <w:p>
      <w:pPr>
        <w:pStyle w:val="Normal"/>
        <w:ind w:start="720" w:end="720"/>
        <w:jc w:val="both"/>
        <w:rPr>
          <w:sz w:val="24"/>
          <w:szCs w:val="24"/>
        </w:rPr>
      </w:pPr>
      <w:r>
        <w:rPr>
          <w:sz w:val="24"/>
          <w:szCs w:val="24"/>
        </w:rPr>
        <w:t>WHEREAS, the Company operates power trading, weather trading, portfolio management and risk management operations in Norway and Sweden through registered branches in those jurisdictions, known as Enron Nordic Energy;</w:t>
      </w:r>
    </w:p>
    <w:p>
      <w:pPr>
        <w:pStyle w:val="Normal"/>
        <w:ind w:start="720" w:end="720"/>
        <w:jc w:val="both"/>
        <w:rPr>
          <w:sz w:val="24"/>
          <w:szCs w:val="24"/>
        </w:rPr>
      </w:pPr>
      <w:r>
        <w:rPr>
          <w:sz w:val="24"/>
          <w:szCs w:val="24"/>
        </w:rPr>
      </w:r>
    </w:p>
    <w:p>
      <w:pPr>
        <w:pStyle w:val="Normal"/>
        <w:ind w:start="720" w:end="720"/>
        <w:jc w:val="both"/>
        <w:rPr>
          <w:sz w:val="24"/>
          <w:szCs w:val="24"/>
        </w:rPr>
      </w:pPr>
      <w:r>
        <w:rPr>
          <w:sz w:val="24"/>
          <w:szCs w:val="24"/>
        </w:rPr>
        <w:t>WHEREAS, the Company intends to sell certain of its assets related to Enron Nordic Energy.</w:t>
      </w:r>
    </w:p>
    <w:p>
      <w:pPr>
        <w:pStyle w:val="Normal"/>
        <w:ind w:start="720" w:end="720"/>
        <w:jc w:val="both"/>
        <w:rPr>
          <w:sz w:val="24"/>
          <w:szCs w:val="24"/>
        </w:rPr>
      </w:pPr>
      <w:r>
        <w:rPr>
          <w:sz w:val="24"/>
          <w:szCs w:val="24"/>
        </w:rPr>
      </w:r>
    </w:p>
    <w:p>
      <w:pPr>
        <w:pStyle w:val="Normal"/>
        <w:ind w:start="720" w:end="720"/>
        <w:jc w:val="both"/>
        <w:rPr>
          <w:sz w:val="24"/>
          <w:szCs w:val="24"/>
        </w:rPr>
      </w:pPr>
      <w:r>
        <w:rPr>
          <w:sz w:val="24"/>
          <w:szCs w:val="24"/>
        </w:rPr>
        <w:t>NOW, THEREFORE, IT IS RESOLVED, that the Board of Directors of the Company hereby authorizes the sale of certain of its assets related to Enron Nordic Energy to AEP Energy Services Norway AS (“AEP”) in return for consideration outlined in the Business Side Agreement between the Company and AEP dated December 24, 2001; and</w:t>
      </w:r>
    </w:p>
    <w:p>
      <w:pPr>
        <w:pStyle w:val="Normal"/>
        <w:ind w:start="720" w:end="720"/>
        <w:jc w:val="both"/>
        <w:rPr>
          <w:sz w:val="24"/>
          <w:szCs w:val="24"/>
        </w:rPr>
      </w:pPr>
      <w:r>
        <w:rPr>
          <w:sz w:val="24"/>
          <w:szCs w:val="24"/>
        </w:rPr>
      </w:r>
    </w:p>
    <w:p>
      <w:pPr>
        <w:pStyle w:val="Normal"/>
        <w:ind w:start="720" w:end="720"/>
        <w:jc w:val="both"/>
        <w:rPr>
          <w:sz w:val="24"/>
          <w:szCs w:val="24"/>
        </w:rPr>
      </w:pPr>
      <w:r>
        <w:rPr>
          <w:sz w:val="24"/>
          <w:szCs w:val="24"/>
        </w:rPr>
        <w:t>RESOLVED, that Eric W. Shaw, in his capacity as Vice President of the Company, is hereby authorized to execute any and all documentation required for the sale of certain of the Company’s assets related to Enron Nordic Energy.</w:t>
      </w:r>
    </w:p>
    <w:p>
      <w:pPr>
        <w:pStyle w:val="Normal"/>
        <w:ind w:end="720"/>
        <w:jc w:val="both"/>
        <w:rPr/>
      </w:pPr>
      <w:r>
        <w:rPr/>
      </w:r>
    </w:p>
    <w:p>
      <w:pPr>
        <w:pStyle w:val="Normal"/>
        <w:ind w:end="720"/>
        <w:jc w:val="both"/>
        <w:rPr>
          <w:sz w:val="24"/>
        </w:rPr>
      </w:pPr>
      <w:r>
        <w:rPr>
          <w:sz w:val="24"/>
        </w:rPr>
      </w:r>
    </w:p>
    <w:p>
      <w:pPr>
        <w:pStyle w:val="Normal"/>
        <w:ind w:end="720"/>
        <w:jc w:val="both"/>
        <w:rPr>
          <w:sz w:val="24"/>
        </w:rPr>
      </w:pPr>
      <w:r>
        <w:rPr>
          <w:sz w:val="24"/>
        </w:rPr>
        <w:t>Dated as of December 24, 2001.</w:t>
      </w:r>
    </w:p>
    <w:p>
      <w:pPr>
        <w:pStyle w:val="Normal"/>
        <w:ind w:end="720"/>
        <w:jc w:val="both"/>
        <w:rPr>
          <w:sz w:val="24"/>
          <w:szCs w:val="24"/>
        </w:rPr>
      </w:pPr>
      <w:r>
        <w:rPr>
          <w:sz w:val="24"/>
          <w:szCs w:val="24"/>
        </w:rPr>
      </w:r>
    </w:p>
    <w:p>
      <w:pPr>
        <w:pStyle w:val="Normal"/>
        <w:ind w:firstLine="5040" w:start="720" w:end="720"/>
        <w:rPr>
          <w:sz w:val="24"/>
          <w:szCs w:val="24"/>
        </w:rPr>
      </w:pPr>
      <w:r>
        <w:rPr>
          <w:sz w:val="24"/>
          <w:szCs w:val="24"/>
        </w:rPr>
        <w:t xml:space="preserve"> </w:t>
      </w:r>
    </w:p>
    <w:p>
      <w:pPr>
        <w:pStyle w:val="Normal"/>
        <w:ind w:end="720"/>
        <w:rPr>
          <w:sz w:val="24"/>
          <w:szCs w:val="24"/>
          <w:u w:val="single"/>
        </w:rPr>
      </w:pPr>
      <w:r>
        <w:rPr>
          <w:sz w:val="24"/>
          <w:szCs w:val="24"/>
          <w:u w:val="single"/>
        </w:rPr>
      </w:r>
    </w:p>
    <w:p>
      <w:pPr>
        <w:pStyle w:val="Normal"/>
        <w:ind w:end="720"/>
        <w:rPr>
          <w:sz w:val="24"/>
          <w:szCs w:val="24"/>
          <w:u w:val="single"/>
        </w:rPr>
      </w:pPr>
      <w:r>
        <w:rPr>
          <w:sz w:val="24"/>
          <w:szCs w:val="24"/>
          <w:u w:val="single"/>
        </w:rPr>
      </w:r>
    </w:p>
    <w:p>
      <w:pPr>
        <w:pStyle w:val="Normal"/>
        <w:ind w:end="720"/>
        <w:rPr>
          <w:sz w:val="24"/>
          <w:szCs w:val="24"/>
        </w:rPr>
      </w:pPr>
      <w:r>
        <w:rPr>
          <w:sz w:val="24"/>
          <w:szCs w:val="24"/>
          <w:u w:val="single"/>
        </w:rPr>
        <w:tab/>
        <w:tab/>
        <w:tab/>
        <w:tab/>
      </w:r>
      <w:r>
        <w:rPr>
          <w:sz w:val="24"/>
          <w:szCs w:val="24"/>
        </w:rPr>
        <w:tab/>
        <w:tab/>
      </w:r>
      <w:r>
        <w:rPr>
          <w:sz w:val="24"/>
          <w:szCs w:val="24"/>
          <w:u w:val="single"/>
        </w:rPr>
        <w:tab/>
        <w:tab/>
        <w:tab/>
        <w:tab/>
      </w:r>
    </w:p>
    <w:p>
      <w:pPr>
        <w:pStyle w:val="Normal"/>
        <w:ind w:end="720"/>
        <w:rPr>
          <w:sz w:val="24"/>
          <w:szCs w:val="24"/>
        </w:rPr>
      </w:pPr>
      <w:r>
        <w:rPr>
          <w:sz w:val="24"/>
          <w:szCs w:val="24"/>
        </w:rPr>
        <w:t>Mark E. Haedicke</w:t>
        <w:tab/>
        <w:tab/>
        <w:tab/>
        <w:tab/>
        <w:t>Raymond M. Bowen, Jr.</w:t>
      </w:r>
    </w:p>
    <w:p>
      <w:pPr>
        <w:pStyle w:val="Normal"/>
        <w:ind w:firstLine="5040" w:start="720" w:end="720"/>
        <w:rPr>
          <w:sz w:val="24"/>
          <w:szCs w:val="24"/>
        </w:rPr>
      </w:pPr>
      <w:r>
        <w:rPr>
          <w:sz w:val="24"/>
          <w:szCs w:val="24"/>
        </w:rPr>
      </w:r>
    </w:p>
    <w:sectPr>
      <w:footerReference w:type="default" r:id="rId2"/>
      <w:type w:val="nextPage"/>
      <w:pgSz w:w="12240" w:h="15840"/>
      <w:pgMar w:left="1800" w:right="1800" w:gutter="0" w:header="0" w:top="1440" w:footer="1440" w:bottom="14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/mnt/main-storage/datasets/enron-docs/doc/ECTRIC___Unanimous_Consent.doc</w:t>
    </w:r>
    <w:r>
      <w:rPr>
        <w:sz w:val="16"/>
      </w:rPr>
      <w:fldChar w:fldCharType="end"/>
    </w:r>
  </w:p>
</w:ftr>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autoSpaceDE w:val="false"/>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tyle14">
    <w:name w:val="Style"/>
    <w:qFormat/>
    <w:pPr>
      <w:widowControl w:val="false"/>
      <w:autoSpaceDE w:val="false"/>
      <w:bidi w:val="0"/>
    </w:pPr>
    <w:rPr>
      <w:rFonts w:ascii="Times New Roman" w:hAnsi="Times New Roman" w:eastAsia="Times New Roman" w:cs="Times New Roman"/>
      <w:color w:val="auto"/>
      <w:sz w:val="20"/>
      <w:szCs w:val="24"/>
      <w:lang w:val="en-US" w:bidi="ar-SA" w:eastAsia="zh-CN"/>
    </w:rPr>
  </w:style>
  <w:style w:type="paragraph" w:styleId="Style21">
    <w:name w:val="Style2"/>
    <w:qFormat/>
    <w:pPr>
      <w:widowControl w:val="false"/>
      <w:autoSpaceDE w:val="false"/>
      <w:bidi w:val="0"/>
    </w:pPr>
    <w:rPr>
      <w:rFonts w:ascii="Times New Roman" w:hAnsi="Times New Roman" w:eastAsia="Times New Roman" w:cs="Times New Roman"/>
      <w:color w:val="auto"/>
      <w:sz w:val="20"/>
      <w:szCs w:val="24"/>
      <w:lang w:val="en-US" w:bidi="ar-SA" w:eastAsia="zh-CN"/>
    </w:rPr>
  </w:style>
  <w:style w:type="paragraph" w:styleId="Style15">
    <w:name w:val="Style1"/>
    <w:qFormat/>
    <w:pPr>
      <w:widowControl w:val="false"/>
      <w:autoSpaceDE w:val="false"/>
      <w:bidi w:val="0"/>
    </w:pPr>
    <w:rPr>
      <w:rFonts w:ascii="Times New Roman" w:hAnsi="Times New Roman" w:eastAsia="Times New Roman" w:cs="Times New Roman"/>
      <w:color w:val="auto"/>
      <w:sz w:val="20"/>
      <w:szCs w:val="24"/>
      <w:lang w:val="en-US" w:bidi="ar-SA" w:eastAsia="zh-C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2001-12-27T19:55:00Z</dcterms:created>
  <dc:creator>lpinder</dc:creator>
  <dc:description/>
  <dc:language>en-CA</dc:language>
  <cp:lastModifiedBy>sbruck</cp:lastModifiedBy>
  <cp:lastPrinted>2001-12-27T16:49:00Z</cp:lastPrinted>
  <dcterms:modified xsi:type="dcterms:W3CDTF">2001-12-27T20:19:00Z</dcterms:modified>
  <cp:revision>3</cp:revision>
  <dc:subject/>
  <dc:title>ENRON CAPITAL &amp; TRADE RESOURCES INTERNATIONAL CORP</dc:title>
</cp:coreProperties>
</file>