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rFonts w:ascii="Times New Roman" w:hAnsi="Times New Roman"/>
          <w:b/>
          <w:sz w:val="22"/>
        </w:rPr>
      </w:pPr>
      <w:r>
        <w:rPr>
          <w:rFonts w:ascii="Times New Roman" w:hAnsi="Times New Roman"/>
          <w:b/>
          <w:sz w:val="22"/>
        </w:rPr>
      </w:r>
    </w:p>
    <w:p>
      <w:pPr>
        <w:pStyle w:val="Heading1"/>
        <w:widowControl/>
        <w:numPr>
          <w:ilvl w:val="0"/>
          <w:numId w:val="0"/>
        </w:numPr>
        <w:bidi w:val="0"/>
        <w:spacing w:before="0" w:after="0"/>
        <w:ind w:hanging="0" w:start="0"/>
        <w:outlineLvl w:val="0"/>
        <w:rPr>
          <w:rFonts w:ascii="Times New Roman" w:hAnsi="Times New Roman"/>
          <w:caps w:val="false"/>
          <w:smallCaps w:val="false"/>
        </w:rPr>
      </w:pPr>
      <w:r>
        <w:rPr>
          <w:rFonts w:ascii="Times New Roman" w:hAnsi="Times New Roman"/>
          <w:caps w:val="false"/>
          <w:smallCaps w:val="false"/>
        </w:rPr>
        <w:t>PARAGRAPH 11</w:t>
      </w:r>
    </w:p>
    <w:p>
      <w:pPr>
        <w:pStyle w:val="Normal"/>
        <w:widowControl/>
        <w:bidi w:val="0"/>
        <w:ind w:hanging="0" w:start="0" w:end="0"/>
        <w:jc w:val="center"/>
        <w:rPr>
          <w:rFonts w:ascii="Times New Roman" w:hAnsi="Times New Roman"/>
          <w:b/>
          <w:sz w:val="22"/>
        </w:rPr>
      </w:pPr>
      <w:r>
        <w:rPr>
          <w:rFonts w:ascii="Times New Roman" w:hAnsi="Times New Roman"/>
          <w:b/>
          <w:sz w:val="22"/>
        </w:rPr>
        <w:t>to the</w:t>
      </w:r>
    </w:p>
    <w:p>
      <w:pPr>
        <w:pStyle w:val="Normal"/>
        <w:widowControl/>
        <w:bidi w:val="0"/>
        <w:ind w:hanging="0" w:start="0" w:end="0"/>
        <w:jc w:val="center"/>
        <w:rPr>
          <w:rFonts w:ascii="Times New Roman" w:hAnsi="Times New Roman"/>
          <w:b/>
          <w:sz w:val="22"/>
        </w:rPr>
      </w:pPr>
      <w:r>
        <w:rPr>
          <w:rFonts w:ascii="Times New Roman" w:hAnsi="Times New Roman"/>
          <w:b/>
          <w:sz w:val="22"/>
        </w:rPr>
        <w:t>CREDIT SUPPORT ANNEX</w:t>
      </w:r>
    </w:p>
    <w:p>
      <w:pPr>
        <w:pStyle w:val="Normal"/>
        <w:widowControl/>
        <w:bidi w:val="0"/>
        <w:ind w:hanging="0" w:start="0" w:end="0"/>
        <w:jc w:val="center"/>
        <w:rPr>
          <w:rFonts w:ascii="Times New Roman" w:hAnsi="Times New Roman"/>
          <w:b/>
          <w:sz w:val="22"/>
        </w:rPr>
      </w:pPr>
      <w:r>
        <w:rPr>
          <w:rFonts w:ascii="Times New Roman" w:hAnsi="Times New Roman"/>
          <w:b/>
          <w:sz w:val="22"/>
        </w:rPr>
      </w:r>
    </w:p>
    <w:p>
      <w:pPr>
        <w:pStyle w:val="Normal"/>
        <w:widowControl/>
        <w:bidi w:val="0"/>
        <w:ind w:hanging="0" w:start="0" w:end="0"/>
        <w:jc w:val="center"/>
        <w:rPr>
          <w:rFonts w:ascii="Times New Roman" w:hAnsi="Times New Roman"/>
          <w:b/>
          <w:sz w:val="22"/>
        </w:rPr>
      </w:pPr>
      <w:r>
        <w:rPr>
          <w:rFonts w:ascii="Times New Roman" w:hAnsi="Times New Roman"/>
          <w:b/>
          <w:sz w:val="22"/>
        </w:rPr>
        <w:t>to the Schedule to the ISDA Master Agreement</w:t>
      </w:r>
    </w:p>
    <w:p>
      <w:pPr>
        <w:pStyle w:val="Normal"/>
        <w:widowControl/>
        <w:bidi w:val="0"/>
        <w:ind w:hanging="0" w:start="0" w:end="0"/>
        <w:jc w:val="center"/>
        <w:rPr>
          <w:rFonts w:ascii="Times New Roman" w:hAnsi="Times New Roman"/>
          <w:b/>
          <w:sz w:val="22"/>
        </w:rPr>
      </w:pPr>
      <w:r>
        <w:rPr>
          <w:rFonts w:ascii="Times New Roman" w:hAnsi="Times New Roman"/>
          <w:b/>
          <w:sz w:val="22"/>
        </w:rPr>
      </w:r>
    </w:p>
    <w:p>
      <w:pPr>
        <w:pStyle w:val="Normal"/>
        <w:widowControl/>
        <w:bidi w:val="0"/>
        <w:ind w:hanging="0" w:start="0" w:end="0"/>
        <w:jc w:val="center"/>
        <w:rPr>
          <w:rFonts w:ascii="Times New Roman" w:hAnsi="Times New Roman"/>
          <w:b/>
          <w:sz w:val="22"/>
        </w:rPr>
      </w:pPr>
      <w:r>
        <w:rPr>
          <w:rFonts w:ascii="Times New Roman" w:hAnsi="Times New Roman"/>
          <w:b/>
          <w:sz w:val="22"/>
        </w:rPr>
        <w:t>dated as of _________________, 2001</w:t>
      </w:r>
    </w:p>
    <w:p>
      <w:pPr>
        <w:pStyle w:val="Normal"/>
        <w:widowControl/>
        <w:bidi w:val="0"/>
        <w:ind w:hanging="0" w:start="0" w:end="0"/>
        <w:jc w:val="center"/>
        <w:rPr>
          <w:rFonts w:ascii="Times New Roman" w:hAnsi="Times New Roman"/>
          <w:b/>
          <w:sz w:val="22"/>
        </w:rPr>
      </w:pPr>
      <w:r>
        <w:rPr>
          <w:rFonts w:ascii="Times New Roman" w:hAnsi="Times New Roman"/>
          <w:b/>
          <w:sz w:val="22"/>
        </w:rPr>
      </w:r>
    </w:p>
    <w:p>
      <w:pPr>
        <w:pStyle w:val="Normal"/>
        <w:widowControl/>
        <w:bidi w:val="0"/>
        <w:ind w:hanging="0" w:start="0" w:end="0"/>
        <w:jc w:val="center"/>
        <w:rPr>
          <w:rFonts w:ascii="Times New Roman" w:hAnsi="Times New Roman"/>
          <w:b/>
          <w:sz w:val="22"/>
        </w:rPr>
      </w:pPr>
      <w:r>
        <w:rPr>
          <w:rFonts w:ascii="Times New Roman" w:hAnsi="Times New Roman"/>
          <w:b/>
          <w:sz w:val="22"/>
        </w:rPr>
      </w:r>
    </w:p>
    <w:p>
      <w:pPr>
        <w:pStyle w:val="Normal"/>
        <w:widowControl/>
        <w:bidi w:val="0"/>
        <w:ind w:hanging="0" w:start="0" w:end="0"/>
        <w:jc w:val="center"/>
        <w:rPr>
          <w:rFonts w:ascii="Times New Roman" w:hAnsi="Times New Roman"/>
          <w:b/>
          <w:sz w:val="22"/>
        </w:rPr>
      </w:pPr>
      <w:r>
        <w:rPr>
          <w:rFonts w:ascii="Times New Roman" w:hAnsi="Times New Roman"/>
          <w:b/>
          <w:sz w:val="22"/>
        </w:rPr>
        <w:t>between</w:t>
      </w:r>
    </w:p>
    <w:tbl>
      <w:tblPr>
        <w:tblW w:w="10208" w:type="dxa"/>
        <w:jc w:val="start"/>
        <w:tblInd w:w="-34" w:type="dxa"/>
        <w:tblLayout w:type="fixed"/>
        <w:tblCellMar>
          <w:top w:w="0" w:type="dxa"/>
          <w:start w:w="108" w:type="dxa"/>
          <w:bottom w:w="0" w:type="dxa"/>
          <w:end w:w="108" w:type="dxa"/>
        </w:tblCellMar>
      </w:tblPr>
      <w:tblGrid>
        <w:gridCol w:w="5104"/>
        <w:gridCol w:w="5103"/>
      </w:tblGrid>
      <w:tr>
        <w:trPr/>
        <w:tc>
          <w:tcPr>
            <w:tcW w:w="5104" w:type="dxa"/>
            <w:tcBorders/>
          </w:tcPr>
          <w:p>
            <w:pPr>
              <w:pStyle w:val="Normal"/>
              <w:widowControl/>
              <w:tabs>
                <w:tab w:val="clear" w:pos="720"/>
                <w:tab w:val="center" w:pos="5760" w:leader="none"/>
              </w:tabs>
              <w:bidi w:val="0"/>
              <w:spacing w:before="240" w:after="0"/>
              <w:ind w:hanging="0" w:start="0" w:end="0"/>
              <w:jc w:val="center"/>
              <w:rPr/>
            </w:pPr>
            <w:r>
              <w:rPr>
                <w:rFonts w:ascii="Times New Roman" w:hAnsi="Times New Roman"/>
                <w:b/>
                <w:sz w:val="22"/>
              </w:rPr>
              <w:t>Enron Capital &amp; Trade Resources International Corp. , a corporation organised under the laws of the state of  Delaware (“Party A”), and</w:t>
            </w:r>
          </w:p>
        </w:tc>
        <w:tc>
          <w:tcPr>
            <w:tcW w:w="5103" w:type="dxa"/>
            <w:tcBorders/>
          </w:tcPr>
          <w:p>
            <w:pPr>
              <w:pStyle w:val="Normal"/>
              <w:widowControl/>
              <w:tabs>
                <w:tab w:val="clear" w:pos="720"/>
                <w:tab w:val="center" w:pos="5760" w:leader="none"/>
              </w:tabs>
              <w:bidi w:val="0"/>
              <w:spacing w:before="240" w:after="0"/>
              <w:ind w:hanging="0" w:start="175" w:end="0"/>
              <w:jc w:val="center"/>
              <w:rPr/>
            </w:pPr>
            <w:r>
              <w:rPr>
                <w:rFonts w:ascii="Times New Roman" w:hAnsi="Times New Roman"/>
                <w:b/>
                <w:sz w:val="22"/>
              </w:rPr>
              <w:t>_____________________________________, a _____________ organized under the laws of ____________ (“Party B”)</w:t>
            </w:r>
          </w:p>
        </w:tc>
      </w:tr>
    </w:tbl>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b/>
          <w:sz w:val="22"/>
        </w:rPr>
        <w:t>Paragraph 11.  Elections and Variables.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1"/>
        </w:numPr>
        <w:tabs>
          <w:tab w:val="clear" w:pos="720"/>
          <w:tab w:val="left" w:pos="420" w:leader="none"/>
        </w:tabs>
        <w:bidi w:val="0"/>
        <w:ind w:hanging="420" w:start="420" w:end="0"/>
        <w:jc w:val="both"/>
        <w:rPr>
          <w:rFonts w:ascii="Times New Roman" w:hAnsi="Times New Roman"/>
          <w:b/>
          <w:sz w:val="22"/>
        </w:rPr>
      </w:pPr>
      <w:r>
        <w:rPr>
          <w:rFonts w:ascii="Times New Roman" w:hAnsi="Times New Roman"/>
          <w:b/>
          <w:sz w:val="22"/>
        </w:rPr>
        <w:t>Base Currency and Eligible Currency.</w:t>
      </w:r>
    </w:p>
    <w:p>
      <w:pPr>
        <w:pStyle w:val="Normal"/>
        <w:widowControl/>
        <w:bidi w:val="0"/>
        <w:ind w:hanging="0" w:start="0" w:end="0"/>
        <w:jc w:val="both"/>
        <w:rPr>
          <w:rFonts w:ascii="Times New Roman" w:hAnsi="Times New Roman"/>
          <w:b/>
          <w:sz w:val="22"/>
        </w:rPr>
      </w:pPr>
      <w:r>
        <w:rPr>
          <w:rFonts w:ascii="Times New Roman" w:hAnsi="Times New Roman"/>
          <w:b/>
          <w:sz w:val="22"/>
        </w:rPr>
      </w:r>
    </w:p>
    <w:p>
      <w:pPr>
        <w:pStyle w:val="Normal"/>
        <w:widowControl/>
        <w:numPr>
          <w:ilvl w:val="0"/>
          <w:numId w:val="2"/>
        </w:numPr>
        <w:tabs>
          <w:tab w:val="clear" w:pos="720"/>
          <w:tab w:val="left" w:pos="1440" w:leader="none"/>
        </w:tabs>
        <w:bidi w:val="0"/>
        <w:ind w:hanging="720" w:start="1440" w:end="0"/>
        <w:jc w:val="both"/>
        <w:rPr>
          <w:rFonts w:ascii="Times New Roman" w:hAnsi="Times New Roman"/>
          <w:sz w:val="22"/>
        </w:rPr>
      </w:pPr>
      <w:r>
        <w:rPr>
          <w:rFonts w:ascii="Times New Roman" w:hAnsi="Times New Roman"/>
          <w:b/>
          <w:sz w:val="22"/>
        </w:rPr>
        <w:t>“</w:t>
      </w:r>
      <w:r>
        <w:rPr>
          <w:rFonts w:ascii="Times New Roman" w:hAnsi="Times New Roman"/>
          <w:b/>
          <w:sz w:val="22"/>
        </w:rPr>
        <w:t>Base Currency”</w:t>
      </w:r>
      <w:r>
        <w:rPr>
          <w:rFonts w:ascii="Times New Roman" w:hAnsi="Times New Roman"/>
          <w:sz w:val="22"/>
        </w:rPr>
        <w:t xml:space="preserve"> means U.S. Dollar.</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numPr>
          <w:ilvl w:val="0"/>
          <w:numId w:val="2"/>
        </w:numPr>
        <w:tabs>
          <w:tab w:val="clear" w:pos="720"/>
          <w:tab w:val="left" w:pos="1440" w:leader="none"/>
        </w:tabs>
        <w:bidi w:val="0"/>
        <w:ind w:hanging="720" w:start="1440" w:end="0"/>
        <w:jc w:val="both"/>
        <w:rPr>
          <w:rFonts w:ascii="Times New Roman" w:hAnsi="Times New Roman"/>
          <w:sz w:val="22"/>
        </w:rPr>
      </w:pPr>
      <w:r>
        <w:rPr>
          <w:rFonts w:ascii="Times New Roman" w:hAnsi="Times New Roman"/>
          <w:b/>
          <w:sz w:val="22"/>
        </w:rPr>
        <w:t>“</w:t>
      </w:r>
      <w:r>
        <w:rPr>
          <w:rFonts w:ascii="Times New Roman" w:hAnsi="Times New Roman"/>
          <w:b/>
          <w:sz w:val="22"/>
        </w:rPr>
        <w:t>Eligible Currency”</w:t>
      </w:r>
      <w:r>
        <w:rPr>
          <w:rFonts w:ascii="Times New Roman" w:hAnsi="Times New Roman"/>
          <w:sz w:val="22"/>
        </w:rPr>
        <w:t xml:space="preserve"> means the Base Currency and each other currency specified here: [(i) Sterling; and (ii) Euro].</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426" w:start="426" w:end="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widowControl/>
        <w:bidi w:val="0"/>
        <w:ind w:hanging="126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080" w:leader="none"/>
        </w:tabs>
        <w:bidi w:val="0"/>
        <w:ind w:hanging="0" w:start="720" w:end="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2(a).</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tabs>
          <w:tab w:val="clear" w:pos="720"/>
          <w:tab w:val="left" w:pos="1080" w:leader="none"/>
        </w:tabs>
        <w:bidi w:val="0"/>
        <w:ind w:hanging="0" w:start="720" w:end="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2(b).</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tabs>
          <w:tab w:val="clear" w:pos="720"/>
          <w:tab w:val="left" w:pos="1080" w:leader="none"/>
        </w:tabs>
        <w:bidi w:val="0"/>
        <w:ind w:hanging="0" w:start="720" w:end="0"/>
        <w:jc w:val="both"/>
        <w:rPr>
          <w:rFonts w:ascii="Times New Roman" w:hAnsi="Times New Roman"/>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has the meaning specified in Paragraph 10.</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tabs>
          <w:tab w:val="clear" w:pos="720"/>
          <w:tab w:val="left" w:pos="1134" w:leader="none"/>
        </w:tabs>
        <w:bidi w:val="0"/>
        <w:ind w:hanging="0" w:start="720" w:end="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Credit Support and Other Eligible Credit Support</w:t>
      </w:r>
    </w:p>
    <w:p>
      <w:pPr>
        <w:pStyle w:val="Normal"/>
        <w:widowControl/>
        <w:tabs>
          <w:tab w:val="clear" w:pos="720"/>
          <w:tab w:val="left" w:pos="1134" w:leader="none"/>
        </w:tabs>
        <w:bidi w:val="0"/>
        <w:ind w:hanging="0" w:start="720" w:end="0"/>
        <w:jc w:val="both"/>
        <w:rPr>
          <w:rFonts w:ascii="Times New Roman" w:hAnsi="Times New Roman"/>
          <w:sz w:val="22"/>
        </w:rPr>
      </w:pPr>
      <w:r>
        <w:rPr>
          <w:rFonts w:ascii="Times New Roman" w:hAnsi="Times New Roman"/>
          <w:sz w:val="22"/>
        </w:rPr>
        <w:br/>
        <w:t xml:space="preserve">(A) </w:t>
      </w:r>
      <w:r>
        <w:rPr>
          <w:rFonts w:ascii="Times New Roman" w:hAnsi="Times New Roman"/>
          <w:b/>
          <w:sz w:val="22"/>
        </w:rPr>
        <w:t>Eligible Credit Support.</w:t>
      </w:r>
      <w:r>
        <w:rPr>
          <w:rFonts w:ascii="Times New Roman" w:hAnsi="Times New Roman"/>
          <w:sz w:val="22"/>
        </w:rPr>
        <w:t xml:space="preserve">  The following items will qualify as</w:t>
      </w:r>
      <w:r>
        <w:rPr>
          <w:rFonts w:ascii="Times New Roman" w:hAnsi="Times New Roman"/>
          <w:b/>
          <w:sz w:val="22"/>
        </w:rPr>
        <w:t xml:space="preserve"> “Eligible Credit Support”</w:t>
      </w:r>
      <w:r>
        <w:rPr>
          <w:rFonts w:ascii="Times New Roman" w:hAnsi="Times New Roman"/>
          <w:sz w:val="22"/>
        </w:rPr>
        <w:t xml:space="preserve"> for the party specified.</w:t>
      </w:r>
    </w:p>
    <w:p>
      <w:pPr>
        <w:pStyle w:val="Normal"/>
        <w:widowControl/>
        <w:bidi w:val="0"/>
        <w:ind w:hanging="0" w:start="1440" w:end="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tc>
          <w:tcPr>
            <w:tcW w:w="629"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tc>
        <w:tc>
          <w:tcPr>
            <w:tcW w:w="2880"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tc>
        <w:tc>
          <w:tcPr>
            <w:tcW w:w="1441"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p>
            <w:pPr>
              <w:pStyle w:val="Normal"/>
              <w:widowControl/>
              <w:tabs>
                <w:tab w:val="clear" w:pos="720"/>
              </w:tabs>
              <w:bidi w:val="0"/>
              <w:ind w:hanging="0" w:start="0" w:end="0"/>
              <w:jc w:val="center"/>
              <w:rPr/>
            </w:pPr>
            <w:r>
              <w:rPr>
                <w:rFonts w:ascii="Times New Roman" w:hAnsi="Times New Roman"/>
                <w:b/>
                <w:sz w:val="22"/>
              </w:rPr>
              <w:t>Party A</w:t>
            </w:r>
          </w:p>
        </w:tc>
        <w:tc>
          <w:tcPr>
            <w:tcW w:w="1440"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p>
            <w:pPr>
              <w:pStyle w:val="Normal"/>
              <w:widowControl/>
              <w:tabs>
                <w:tab w:val="clear" w:pos="720"/>
              </w:tabs>
              <w:bidi w:val="0"/>
              <w:ind w:hanging="0" w:start="0" w:end="0"/>
              <w:jc w:val="center"/>
              <w:rPr/>
            </w:pPr>
            <w:r>
              <w:rPr>
                <w:rFonts w:ascii="Times New Roman" w:hAnsi="Times New Roman"/>
                <w:b/>
                <w:sz w:val="22"/>
              </w:rPr>
              <w:t>Party B</w:t>
            </w:r>
          </w:p>
        </w:tc>
        <w:tc>
          <w:tcPr>
            <w:tcW w:w="1365"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t>Valuation</w:t>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t>Percentage</w:t>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tc>
      </w:tr>
      <w:tr>
        <w:trPr/>
        <w:tc>
          <w:tcPr>
            <w:tcW w:w="629" w:type="dxa"/>
            <w:tcBorders/>
          </w:tcPr>
          <w:p>
            <w:pPr>
              <w:pStyle w:val="Normal"/>
              <w:widowControl/>
              <w:tabs>
                <w:tab w:val="clear" w:pos="720"/>
              </w:tabs>
              <w:bidi w:val="0"/>
              <w:ind w:hanging="0" w:start="0" w:end="0"/>
              <w:jc w:val="both"/>
              <w:rPr/>
            </w:pPr>
            <w:r>
              <w:rPr>
                <w:rFonts w:ascii="Times New Roman" w:hAnsi="Times New Roman"/>
                <w:sz w:val="22"/>
              </w:rPr>
              <w:t>(1)</w:t>
            </w:r>
          </w:p>
        </w:tc>
        <w:tc>
          <w:tcPr>
            <w:tcW w:w="2880" w:type="dxa"/>
            <w:tcBorders/>
          </w:tcPr>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t>Cash in an Eligible Currency</w:t>
            </w:r>
          </w:p>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r>
          </w:p>
        </w:tc>
        <w:tc>
          <w:tcPr>
            <w:tcW w:w="1441" w:type="dxa"/>
            <w:tcBorders/>
          </w:tcPr>
          <w:p>
            <w:pPr>
              <w:pStyle w:val="Normal"/>
              <w:widowControl/>
              <w:tabs>
                <w:tab w:val="clear" w:pos="720"/>
              </w:tabs>
              <w:bidi w:val="0"/>
              <w:ind w:hanging="0" w:start="0" w:end="0"/>
              <w:jc w:val="center"/>
              <w:rPr/>
            </w:pPr>
            <w:r>
              <w:rPr>
                <w:rFonts w:ascii="Times New Roman" w:hAnsi="Times New Roman"/>
                <w:sz w:val="22"/>
              </w:rPr>
              <w:t>[X]</w:t>
            </w:r>
          </w:p>
        </w:tc>
        <w:tc>
          <w:tcPr>
            <w:tcW w:w="1440" w:type="dxa"/>
            <w:tcBorders/>
          </w:tcPr>
          <w:p>
            <w:pPr>
              <w:pStyle w:val="Normal"/>
              <w:widowControl/>
              <w:tabs>
                <w:tab w:val="clear" w:pos="720"/>
              </w:tabs>
              <w:bidi w:val="0"/>
              <w:ind w:hanging="0" w:start="0" w:end="0"/>
              <w:jc w:val="center"/>
              <w:rPr/>
            </w:pPr>
            <w:r>
              <w:rPr>
                <w:rFonts w:ascii="Times New Roman" w:hAnsi="Times New Roman"/>
                <w:sz w:val="22"/>
              </w:rPr>
              <w:t>[X]</w:t>
            </w:r>
          </w:p>
        </w:tc>
        <w:tc>
          <w:tcPr>
            <w:tcW w:w="1365" w:type="dxa"/>
            <w:tcBorders/>
          </w:tcPr>
          <w:p>
            <w:pPr>
              <w:pStyle w:val="Normal"/>
              <w:widowControl/>
              <w:tabs>
                <w:tab w:val="clear" w:pos="720"/>
              </w:tabs>
              <w:bidi w:val="0"/>
              <w:ind w:hanging="0" w:start="0" w:end="0"/>
              <w:jc w:val="center"/>
              <w:rPr/>
            </w:pPr>
            <w:r>
              <w:rPr>
                <w:rFonts w:ascii="Times New Roman" w:hAnsi="Times New Roman"/>
                <w:sz w:val="22"/>
              </w:rPr>
              <w:t>100%</w:t>
            </w:r>
          </w:p>
        </w:tc>
      </w:tr>
      <w:tr>
        <w:trPr/>
        <w:tc>
          <w:tcPr>
            <w:tcW w:w="629" w:type="dxa"/>
            <w:tcBorders/>
          </w:tcPr>
          <w:p>
            <w:pPr>
              <w:pStyle w:val="Normal"/>
              <w:widowControl/>
              <w:tabs>
                <w:tab w:val="clear" w:pos="720"/>
              </w:tabs>
              <w:bidi w:val="0"/>
              <w:ind w:hanging="0" w:start="0" w:end="0"/>
              <w:jc w:val="both"/>
              <w:rPr/>
            </w:pPr>
            <w:r>
              <w:rPr>
                <w:rFonts w:ascii="Times New Roman" w:hAnsi="Times New Roman"/>
                <w:sz w:val="22"/>
              </w:rPr>
              <w:t>(2)</w:t>
            </w:r>
          </w:p>
        </w:tc>
        <w:tc>
          <w:tcPr>
            <w:tcW w:w="2880" w:type="dxa"/>
            <w:tcBorders/>
          </w:tcPr>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t>Other:</w:t>
              <w:tab/>
              <w:t>None</w:t>
            </w:r>
          </w:p>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r>
          </w:p>
        </w:tc>
        <w:tc>
          <w:tcPr>
            <w:tcW w:w="1441" w:type="dxa"/>
            <w:tcBorders/>
          </w:tcPr>
          <w:p>
            <w:pPr>
              <w:pStyle w:val="Normal"/>
              <w:widowControl/>
              <w:tabs>
                <w:tab w:val="clear" w:pos="720"/>
              </w:tabs>
              <w:bidi w:val="0"/>
              <w:ind w:hanging="0" w:start="0" w:end="0"/>
              <w:jc w:val="center"/>
              <w:rPr>
                <w:rFonts w:ascii="Times New Roman" w:hAnsi="Times New Roman"/>
                <w:sz w:val="22"/>
              </w:rPr>
            </w:pPr>
            <w:r>
              <w:rPr>
                <w:rFonts w:ascii="Times New Roman" w:hAnsi="Times New Roman"/>
                <w:sz w:val="22"/>
              </w:rPr>
            </w:r>
          </w:p>
        </w:tc>
        <w:tc>
          <w:tcPr>
            <w:tcW w:w="1440" w:type="dxa"/>
            <w:tcBorders/>
          </w:tcPr>
          <w:p>
            <w:pPr>
              <w:pStyle w:val="Normal"/>
              <w:widowControl/>
              <w:tabs>
                <w:tab w:val="clear" w:pos="720"/>
              </w:tabs>
              <w:bidi w:val="0"/>
              <w:ind w:hanging="0" w:start="0" w:end="0"/>
              <w:jc w:val="center"/>
              <w:rPr>
                <w:rFonts w:ascii="Times New Roman" w:hAnsi="Times New Roman"/>
                <w:sz w:val="22"/>
              </w:rPr>
            </w:pPr>
            <w:r>
              <w:rPr>
                <w:rFonts w:ascii="Times New Roman" w:hAnsi="Times New Roman"/>
                <w:sz w:val="22"/>
              </w:rPr>
            </w:r>
          </w:p>
        </w:tc>
        <w:tc>
          <w:tcPr>
            <w:tcW w:w="1365" w:type="dxa"/>
            <w:tcBorders/>
          </w:tcPr>
          <w:p>
            <w:pPr>
              <w:pStyle w:val="Normal"/>
              <w:widowControl/>
              <w:tabs>
                <w:tab w:val="clear" w:pos="720"/>
              </w:tabs>
              <w:bidi w:val="0"/>
              <w:ind w:hanging="0" w:start="0" w:end="0"/>
              <w:jc w:val="center"/>
              <w:rPr>
                <w:rFonts w:ascii="Times New Roman" w:hAnsi="Times New Roman"/>
                <w:sz w:val="22"/>
              </w:rPr>
            </w:pPr>
            <w:r>
              <w:rPr>
                <w:rFonts w:ascii="Times New Roman" w:hAnsi="Times New Roman"/>
                <w:sz w:val="22"/>
              </w:rPr>
            </w:r>
          </w:p>
        </w:tc>
      </w:tr>
    </w:tbl>
    <w:p>
      <w:pPr>
        <w:pStyle w:val="Normal"/>
        <w:widowControl/>
        <w:bidi w:val="0"/>
        <w:ind w:hanging="0" w:start="1440" w:end="0"/>
        <w:jc w:val="both"/>
        <w:rPr>
          <w:rFonts w:ascii="Times New Roman" w:hAnsi="Times New Roman"/>
          <w:sz w:val="22"/>
        </w:rPr>
      </w:pPr>
      <w:r>
        <w:rPr>
          <w:rFonts w:ascii="Times New Roman" w:hAnsi="Times New Roman"/>
          <w:sz w:val="22"/>
        </w:rPr>
      </w:r>
    </w:p>
    <w:p>
      <w:pPr>
        <w:pStyle w:val="Normal"/>
        <w:widowControl/>
        <w:bidi w:val="0"/>
        <w:ind w:hanging="0" w:start="1440" w:end="0"/>
        <w:jc w:val="both"/>
        <w:rPr>
          <w:rFonts w:ascii="Times New Roman" w:hAnsi="Times New Roman"/>
          <w:sz w:val="22"/>
        </w:rPr>
      </w:pPr>
      <w:r>
        <w:rPr>
          <w:rFonts w:ascii="Times New Roman" w:hAnsi="Times New Roman"/>
          <w:sz w:val="22"/>
        </w:rPr>
      </w:r>
    </w:p>
    <w:p>
      <w:pPr>
        <w:pStyle w:val="Normal"/>
        <w:widowControl/>
        <w:bidi w:val="0"/>
        <w:ind w:hanging="0" w:start="1440" w:end="0"/>
        <w:jc w:val="both"/>
        <w:rPr>
          <w:rFonts w:ascii="Times New Roman" w:hAnsi="Times New Roman"/>
          <w:sz w:val="22"/>
        </w:rPr>
      </w:pPr>
      <w:r>
        <w:rPr>
          <w:rFonts w:ascii="Times New Roman" w:hAnsi="Times New Roman"/>
          <w:sz w:val="22"/>
        </w:rPr>
      </w:r>
    </w:p>
    <w:p>
      <w:pPr>
        <w:pStyle w:val="Normal"/>
        <w:widowControl/>
        <w:bidi w:val="0"/>
        <w:ind w:hanging="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134" w:leader="none"/>
        </w:tabs>
        <w:bidi w:val="0"/>
        <w:ind w:hanging="0" w:start="720" w:end="0"/>
        <w:jc w:val="both"/>
        <w:rPr>
          <w:rFonts w:ascii="Times New Roman" w:hAnsi="Times New Roman"/>
          <w:sz w:val="22"/>
        </w:rPr>
      </w:pPr>
      <w:r>
        <w:rPr>
          <w:rFonts w:ascii="Times New Roman" w:hAnsi="Times New Roman"/>
          <w:sz w:val="22"/>
        </w:rPr>
        <w:t xml:space="preserve">(B) </w:t>
      </w:r>
      <w:r>
        <w:rPr>
          <w:rFonts w:ascii="Times New Roman" w:hAnsi="Times New Roman"/>
          <w:b/>
          <w:sz w:val="22"/>
        </w:rPr>
        <w:t>Other Eligible Credit Support.</w:t>
      </w:r>
      <w:r>
        <w:rPr>
          <w:rFonts w:ascii="Times New Roman" w:hAnsi="Times New Roman"/>
          <w:sz w:val="22"/>
        </w:rPr>
        <w:t xml:space="preserve">  The following item will qualify as </w:t>
      </w:r>
      <w:r>
        <w:rPr>
          <w:rFonts w:ascii="Times New Roman" w:hAnsi="Times New Roman"/>
          <w:b/>
          <w:sz w:val="22"/>
        </w:rPr>
        <w:t>“Other Eligible Credit Support”</w:t>
      </w:r>
      <w:r>
        <w:rPr>
          <w:rFonts w:ascii="Times New Roman" w:hAnsi="Times New Roman"/>
          <w:sz w:val="22"/>
        </w:rPr>
        <w:t xml:space="preserve"> for the party specified:</w:t>
      </w:r>
    </w:p>
    <w:p>
      <w:pPr>
        <w:pStyle w:val="Normal"/>
        <w:widowControl/>
        <w:bidi w:val="0"/>
        <w:ind w:hanging="0" w:start="1440" w:end="0"/>
        <w:jc w:val="both"/>
        <w:rPr>
          <w:rFonts w:ascii="Times New Roman" w:hAnsi="Times New Roman"/>
          <w:sz w:val="22"/>
        </w:rPr>
      </w:pPr>
      <w:r>
        <w:rPr>
          <w:rFonts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tc>
          <w:tcPr>
            <w:tcW w:w="1799" w:type="dxa"/>
            <w:tcBorders/>
          </w:tcPr>
          <w:p>
            <w:pPr>
              <w:pStyle w:val="Normal"/>
              <w:widowControl/>
              <w:tabs>
                <w:tab w:val="clear" w:pos="720"/>
              </w:tabs>
              <w:bidi w:val="0"/>
              <w:ind w:hanging="0" w:start="0" w:end="0"/>
              <w:jc w:val="both"/>
              <w:rPr>
                <w:rFonts w:ascii="Times New Roman" w:hAnsi="Times New Roman"/>
                <w:sz w:val="22"/>
              </w:rPr>
            </w:pPr>
            <w:r>
              <w:rPr>
                <w:rFonts w:ascii="Times New Roman" w:hAnsi="Times New Roman"/>
                <w:sz w:val="22"/>
              </w:rPr>
            </w:r>
          </w:p>
        </w:tc>
        <w:tc>
          <w:tcPr>
            <w:tcW w:w="1441"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t>Party A</w:t>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tc>
        <w:tc>
          <w:tcPr>
            <w:tcW w:w="1643"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t>Party B</w:t>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tc>
        <w:tc>
          <w:tcPr>
            <w:tcW w:w="3757"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t>Valuation</w:t>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t>Percentage</w:t>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tc>
      </w:tr>
      <w:tr>
        <w:trPr/>
        <w:tc>
          <w:tcPr>
            <w:tcW w:w="1799" w:type="dxa"/>
            <w:tcBorders/>
          </w:tcPr>
          <w:p>
            <w:pPr>
              <w:pStyle w:val="Normal"/>
              <w:widowControl/>
              <w:tabs>
                <w:tab w:val="clear" w:pos="720"/>
              </w:tabs>
              <w:bidi w:val="0"/>
              <w:ind w:hanging="0" w:start="0" w:end="0"/>
              <w:jc w:val="both"/>
              <w:rPr/>
            </w:pPr>
            <w:r>
              <w:rPr>
                <w:rFonts w:ascii="Times New Roman" w:hAnsi="Times New Roman"/>
                <w:sz w:val="22"/>
              </w:rPr>
              <w:t>Letters of Credit</w:t>
            </w:r>
          </w:p>
        </w:tc>
        <w:tc>
          <w:tcPr>
            <w:tcW w:w="1441" w:type="dxa"/>
            <w:tcBorders/>
          </w:tcPr>
          <w:p>
            <w:pPr>
              <w:pStyle w:val="Normal"/>
              <w:widowControl/>
              <w:tabs>
                <w:tab w:val="clear" w:pos="720"/>
              </w:tabs>
              <w:bidi w:val="0"/>
              <w:ind w:hanging="0" w:start="0" w:end="0"/>
              <w:jc w:val="center"/>
              <w:rPr/>
            </w:pPr>
            <w:r>
              <w:rPr>
                <w:rFonts w:ascii="Times New Roman" w:hAnsi="Times New Roman"/>
                <w:sz w:val="22"/>
              </w:rPr>
              <w:t>[_]</w:t>
            </w:r>
          </w:p>
        </w:tc>
        <w:tc>
          <w:tcPr>
            <w:tcW w:w="1643" w:type="dxa"/>
            <w:tcBorders/>
          </w:tcPr>
          <w:p>
            <w:pPr>
              <w:pStyle w:val="Normal"/>
              <w:widowControl/>
              <w:tabs>
                <w:tab w:val="clear" w:pos="720"/>
              </w:tabs>
              <w:bidi w:val="0"/>
              <w:ind w:hanging="0" w:start="0" w:end="0"/>
              <w:jc w:val="center"/>
              <w:rPr/>
            </w:pPr>
            <w:r>
              <w:rPr>
                <w:rFonts w:ascii="Times New Roman" w:hAnsi="Times New Roman"/>
                <w:sz w:val="22"/>
              </w:rPr>
              <w:t>[_]</w:t>
            </w:r>
          </w:p>
        </w:tc>
        <w:tc>
          <w:tcPr>
            <w:tcW w:w="3757" w:type="dxa"/>
            <w:tcBorders/>
          </w:tcPr>
          <w:p>
            <w:pPr>
              <w:pStyle w:val="Normal"/>
              <w:widowControl/>
              <w:tabs>
                <w:tab w:val="clear" w:pos="720"/>
              </w:tabs>
              <w:bidi w:val="0"/>
              <w:ind w:hanging="0" w:start="0" w:end="0"/>
              <w:jc w:val="start"/>
              <w:rPr/>
            </w:pPr>
            <w:r>
              <w:rPr>
                <w:rFonts w:ascii="Times New Roman" w:hAnsi="Times New Roman"/>
                <w:sz w:val="22"/>
              </w:rPr>
              <w:t xml:space="preserve">100% of the Value of the Other Eligible Credit Support unless </w:t>
            </w:r>
            <w:ins w:id="0" w:author="rbruce2" w:date="2001-03-23T10:39:00Z">
              <w:r>
                <w:rPr>
                  <w:rFonts w:ascii="Times New Roman" w:hAnsi="Times New Roman"/>
                  <w:sz w:val="22"/>
                </w:rPr>
                <w:t xml:space="preserve">(i) </w:t>
              </w:r>
            </w:ins>
            <w:r>
              <w:rPr>
                <w:rFonts w:ascii="Times New Roman" w:hAnsi="Times New Roman"/>
                <w:sz w:val="22"/>
              </w:rPr>
              <w:t>a Letter of Credit Default shall apply with respect to such Letter of Credit</w:t>
            </w:r>
            <w:ins w:id="1" w:author="rbruce2" w:date="2001-03-23T10:39:00Z">
              <w:r>
                <w:rPr>
                  <w:rFonts w:ascii="Times New Roman" w:hAnsi="Times New Roman"/>
                  <w:sz w:val="22"/>
                </w:rPr>
                <w:t xml:space="preserve"> or (ii) twenty (20) or fewer Local Business Days remain prior to the expiration of such Letter of Credit,</w:t>
              </w:r>
            </w:ins>
            <w:r>
              <w:rPr>
                <w:rFonts w:ascii="Times New Roman" w:hAnsi="Times New Roman"/>
                <w:sz w:val="22"/>
              </w:rPr>
              <w:t xml:space="preserve"> in which case the Valuation Percentage shall be 0.</w:t>
            </w:r>
          </w:p>
        </w:tc>
      </w:tr>
    </w:tbl>
    <w:p>
      <w:pPr>
        <w:pStyle w:val="Normal"/>
        <w:widowControl/>
        <w:bidi w:val="0"/>
        <w:ind w:hanging="0" w:start="144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Thresholds.</w:t>
      </w:r>
    </w:p>
    <w:p>
      <w:pPr>
        <w:pStyle w:val="Normal"/>
        <w:widowControl/>
        <w:bidi w:val="0"/>
        <w:ind w:hanging="72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134" w:leader="none"/>
        </w:tabs>
        <w:bidi w:val="0"/>
        <w:ind w:hanging="0" w:start="709" w:end="0"/>
        <w:jc w:val="both"/>
        <w:rPr>
          <w:rFonts w:ascii="Times New Roman" w:hAnsi="Times New Roman"/>
          <w:sz w:val="22"/>
        </w:rPr>
      </w:pPr>
      <w:r>
        <w:rPr>
          <w:rFonts w:ascii="Times New Roman" w:hAnsi="Times New Roman"/>
          <w:sz w:val="22"/>
        </w:rPr>
        <w:t xml:space="preserve">(A)  </w:t>
        <w:tab/>
      </w:r>
      <w:r>
        <w:rPr>
          <w:rFonts w:ascii="Times New Roman" w:hAnsi="Times New Roman"/>
          <w:b/>
          <w:sz w:val="22"/>
        </w:rPr>
        <w:t>“Independent Amount”</w:t>
      </w:r>
      <w:r>
        <w:rPr>
          <w:rFonts w:ascii="Times New Roman" w:hAnsi="Times New Roman"/>
          <w:sz w:val="22"/>
        </w:rPr>
        <w:t xml:space="preserve"> means with respect to Party A:  nil.</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firstLine="414" w:start="720" w:end="0"/>
        <w:jc w:val="both"/>
        <w:rPr>
          <w:rFonts w:ascii="Times New Roman" w:hAnsi="Times New Roman"/>
          <w:sz w:val="22"/>
        </w:rPr>
      </w:pPr>
      <w:r>
        <w:rPr>
          <w:rFonts w:ascii="Times New Roman" w:hAnsi="Times New Roman"/>
          <w:b/>
          <w:sz w:val="22"/>
        </w:rPr>
        <w:t>“</w:t>
      </w:r>
      <w:r>
        <w:rPr>
          <w:rFonts w:ascii="Times New Roman" w:hAnsi="Times New Roman"/>
          <w:b/>
          <w:sz w:val="22"/>
        </w:rPr>
        <w:t>Independent Amount”</w:t>
      </w:r>
      <w:r>
        <w:rPr>
          <w:rFonts w:ascii="Times New Roman" w:hAnsi="Times New Roman"/>
          <w:sz w:val="22"/>
        </w:rPr>
        <w:t xml:space="preserve"> means with respect to Party B:  nil.</w:t>
      </w:r>
    </w:p>
    <w:p>
      <w:pPr>
        <w:pStyle w:val="Normal"/>
        <w:widowControl/>
        <w:bidi w:val="0"/>
        <w:ind w:hanging="0" w:start="720" w:end="0"/>
        <w:jc w:val="both"/>
        <w:rPr>
          <w:rFonts w:ascii="Times New Roman" w:hAnsi="Times New Roman"/>
          <w:sz w:val="22"/>
          <w:ins w:id="3" w:author="rbruce2" w:date="2001-03-23T10:42:00Z"/>
        </w:rPr>
      </w:pPr>
      <w:ins w:id="2" w:author="rbruce2" w:date="2001-03-23T10:42:00Z">
        <w:r>
          <w:rPr>
            <w:rFonts w:ascii="Times New Roman" w:hAnsi="Times New Roman"/>
            <w:sz w:val="22"/>
          </w:rPr>
        </w:r>
      </w:ins>
    </w:p>
    <w:p>
      <w:pPr>
        <w:pStyle w:val="Normal"/>
        <w:widowControl/>
        <w:bidi w:val="0"/>
        <w:ind w:hanging="0" w:start="720" w:end="0"/>
        <w:jc w:val="both"/>
        <w:rPr>
          <w:rFonts w:ascii="Times New Roman" w:hAnsi="Times New Roman"/>
          <w:sz w:val="22"/>
        </w:rPr>
      </w:pPr>
      <w:ins w:id="4" w:author="rbruce2" w:date="2001-03-23T10:42:00Z">
        <w:r>
          <w:rPr>
            <w:rFonts w:ascii="Times New Roman" w:hAnsi="Times New Roman"/>
            <w:sz w:val="22"/>
          </w:rPr>
          <w:t>[(A)  “Independent Amount” means with respect to Party A, the amount specified as such for Party A in each Confirmation, or if no amount is specified, zero, and means with respect to Party B, the amount calculated as follows: on any Business Day, Party A shall have the right to adjust the Independent Amount due from Party B due to changes in the volatility of relevant markets or of Party B’s portfolio of transactions with Party A (“Party B’s Portfolio</w:t>
        </w:r>
      </w:ins>
      <w:ins w:id="5" w:author="rbruce2" w:date="2001-03-23T10:44:00Z">
        <w:r>
          <w:rPr>
            <w:rFonts w:ascii="Times New Roman" w:hAnsi="Times New Roman"/>
            <w:sz w:val="22"/>
          </w:rPr>
          <w:t>”).  Party A will calculate such Independent Amount based on its internal Value at Risk (“VAR”) calculation for up to ten (10) days of VAR with respect to Party B’s Portfolio, provided, however, that in no event shall Party B’s Independent Amount be less than $250,000 if there are any outstanding Transactions.]</w:t>
        </w:r>
      </w:ins>
      <w:ins w:id="6" w:author="rbruce2" w:date="2001-03-23T10:46:00Z">
        <w:r>
          <w:rPr>
            <w:rStyle w:val="FootnoteReference"/>
            <w:rFonts w:ascii="Times New Roman" w:hAnsi="Times New Roman"/>
            <w:lang w:val="en-US" w:eastAsia="en-US"/>
          </w:rPr>
          <w:footnoteReference w:id="2"/>
        </w:r>
      </w:ins>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(B)  [</w:t>
      </w:r>
      <w:r>
        <w:rPr>
          <w:rFonts w:ascii="Times New Roman" w:hAnsi="Times New Roman"/>
          <w:b/>
          <w:sz w:val="22"/>
        </w:rPr>
        <w:t>“Threshold”</w:t>
      </w:r>
      <w:r>
        <w:rPr>
          <w:rFonts w:ascii="Times New Roman" w:hAnsi="Times New Roman"/>
          <w:sz w:val="22"/>
        </w:rPr>
        <w:t xml:space="preserve"> means with respect to Party A, U.S. $________ and with respect to Party B, U.S. $____; provided, however, that the Threshold for a party shall be zero upon the occurrence and during the continuance of a Material Adverse Change or an Event of Default or Potential Event of Default with respect to such party.]</w:t>
      </w:r>
    </w:p>
    <w:p>
      <w:pPr>
        <w:pStyle w:val="Normal"/>
        <w:widowControl/>
        <w:bidi w:val="0"/>
        <w:ind w:hanging="0" w:start="720" w:end="0"/>
        <w:jc w:val="both"/>
        <w:rPr>
          <w:rFonts w:ascii="Times New Roman" w:hAnsi="Times New Roman"/>
          <w:sz w:val="22"/>
          <w:del w:id="8" w:author="rbruce2" w:date="2001-03-23T10:56:00Z"/>
        </w:rPr>
      </w:pPr>
      <w:del w:id="7" w:author="rbruce2" w:date="2001-03-23T10:56:00Z">
        <w:r>
          <w:rPr>
            <w:rFonts w:ascii="Times New Roman" w:hAnsi="Times New Roman"/>
            <w:sz w:val="22"/>
          </w:rPr>
        </w:r>
      </w:del>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hanging="0" w:start="1080" w:end="0"/>
        <w:jc w:val="both"/>
        <w:rPr>
          <w:rFonts w:ascii="Times New Roman" w:hAnsi="Times New Roman"/>
          <w:sz w:val="22"/>
        </w:rPr>
      </w:pPr>
      <w:r>
        <w:rPr>
          <w:rFonts w:ascii="Times New Roman" w:hAnsi="Times New Roman"/>
          <w:sz w:val="22"/>
        </w:rPr>
        <w:t>[</w:t>
      </w:r>
      <w:r>
        <w:rPr>
          <w:rFonts w:ascii="Times New Roman" w:hAnsi="Times New Roman"/>
          <w:b/>
          <w:sz w:val="22"/>
        </w:rPr>
        <w:t>“Threshold”</w:t>
      </w:r>
      <w:r>
        <w:rPr>
          <w:rFonts w:ascii="Times New Roman" w:hAnsi="Times New Roman"/>
          <w:sz w:val="22"/>
        </w:rPr>
        <w:t xml:space="preserve"> means, with respect to a party (a) the amount set forth opposite the highest Credit Rating for the party (or [in the case of Party B, ____________ and] in the case of Party A, Enron Corp.)</w:t>
      </w:r>
      <w:r>
        <w:rPr>
          <w:rStyle w:val="FootnoteReference"/>
          <w:rFonts w:ascii="Times New Roman" w:hAnsi="Times New Roman"/>
          <w:lang w:val="en-US" w:eastAsia="en-US"/>
        </w:rPr>
        <w:footnoteReference w:id="3"/>
      </w:r>
      <w:r>
        <w:rPr>
          <w:rFonts w:ascii="Times New Roman" w:hAnsi="Times New Roman"/>
          <w:sz w:val="22"/>
        </w:rPr>
        <w:t xml:space="preserve"> on the relevant date of determination; or (b) zero if on the relevant date of determination (i) the party does not have a Credit Rating from </w:t>
      </w:r>
      <w:ins w:id="9" w:author="rbruce2" w:date="2001-03-23T10:52:00Z">
        <w:r>
          <w:rPr>
            <w:rFonts w:ascii="Times New Roman" w:hAnsi="Times New Roman"/>
            <w:sz w:val="22"/>
          </w:rPr>
          <w:t>[</w:t>
        </w:r>
      </w:ins>
      <w:r>
        <w:rPr>
          <w:rFonts w:ascii="Times New Roman" w:hAnsi="Times New Roman"/>
          <w:sz w:val="22"/>
        </w:rPr>
        <w:t>either S&amp;P or Moody's</w:t>
      </w:r>
      <w:ins w:id="10" w:author="rbruce2" w:date="2001-03-23T10:52:00Z">
        <w:r>
          <w:rPr>
            <w:rFonts w:ascii="Times New Roman" w:hAnsi="Times New Roman"/>
            <w:sz w:val="22"/>
          </w:rPr>
          <w:t>][</w:t>
        </w:r>
      </w:ins>
      <w:ins w:id="11" w:author="rbruce2" w:date="2001-03-23T15:45:00Z">
        <w:r>
          <w:rPr>
            <w:rFonts w:ascii="Times New Roman" w:hAnsi="Times New Roman"/>
            <w:sz w:val="22"/>
          </w:rPr>
          <w:t>both</w:t>
        </w:r>
      </w:ins>
      <w:ins w:id="12" w:author="rbruce2" w:date="2001-03-23T10:52:00Z">
        <w:r>
          <w:rPr>
            <w:rFonts w:ascii="Times New Roman" w:hAnsi="Times New Roman"/>
            <w:sz w:val="22"/>
          </w:rPr>
          <w:t xml:space="preserve"> S&amp;P </w:t>
        </w:r>
      </w:ins>
      <w:ins w:id="13" w:author="rbruce2" w:date="2001-03-23T15:45:00Z">
        <w:r>
          <w:rPr>
            <w:rFonts w:ascii="Times New Roman" w:hAnsi="Times New Roman"/>
            <w:sz w:val="22"/>
          </w:rPr>
          <w:t>and</w:t>
        </w:r>
      </w:ins>
      <w:ins w:id="14" w:author="rbruce2" w:date="2001-03-23T10:52:00Z">
        <w:r>
          <w:rPr>
            <w:rFonts w:ascii="Times New Roman" w:hAnsi="Times New Roman"/>
            <w:sz w:val="22"/>
          </w:rPr>
          <w:t xml:space="preserve"> Moody’s]</w:t>
        </w:r>
      </w:ins>
      <w:ins w:id="15" w:author="rbruce2" w:date="2001-03-23T10:52:00Z">
        <w:r>
          <w:rPr>
            <w:rStyle w:val="FootnoteReference"/>
            <w:rFonts w:ascii="Times New Roman" w:hAnsi="Times New Roman"/>
            <w:lang w:val="en-US" w:eastAsia="en-US"/>
          </w:rPr>
          <w:footnoteReference w:id="4"/>
        </w:r>
      </w:ins>
      <w:r>
        <w:rPr>
          <w:rFonts w:ascii="Times New Roman" w:hAnsi="Times New Roman"/>
          <w:sz w:val="22"/>
        </w:rPr>
        <w:t xml:space="preserve">, or (ii) </w:t>
      </w:r>
      <w:del w:id="16" w:author="rbruce2" w:date="2001-03-23T10:57:00Z">
        <w:r>
          <w:rPr>
            <w:rFonts w:ascii="Times New Roman" w:hAnsi="Times New Roman"/>
            <w:sz w:val="22"/>
          </w:rPr>
          <w:delText>[a Material Adverse Change,]</w:delText>
        </w:r>
      </w:del>
      <w:del w:id="17" w:author="rbruce2" w:date="2001-03-23T10:57:00Z">
        <w:r>
          <w:rPr>
            <w:rStyle w:val="FootnoteReference"/>
            <w:rFonts w:ascii="Times New Roman" w:hAnsi="Times New Roman"/>
            <w:lang w:val="en-US" w:eastAsia="en-US"/>
          </w:rPr>
          <w:footnoteReference w:id="5"/>
        </w:r>
      </w:del>
      <w:del w:id="18" w:author="rbruce2" w:date="2001-03-23T10:57:00Z">
        <w:r>
          <w:rPr>
            <w:rFonts w:ascii="Times New Roman" w:hAnsi="Times New Roman"/>
            <w:sz w:val="22"/>
          </w:rPr>
          <w:delText xml:space="preserve"> </w:delText>
        </w:r>
      </w:del>
      <w:del w:id="19" w:author="rbruce2" w:date="2001-03-23T10:59:00Z">
        <w:r>
          <w:rPr>
            <w:rFonts w:ascii="Times New Roman" w:hAnsi="Times New Roman"/>
            <w:sz w:val="22"/>
          </w:rPr>
          <w:delText>an</w:delText>
        </w:r>
      </w:del>
      <w:r>
        <w:rPr>
          <w:rFonts w:ascii="Times New Roman" w:hAnsi="Times New Roman"/>
          <w:sz w:val="22"/>
        </w:rPr>
        <w:t xml:space="preserve"> Event of Default or Potential Event of Default with respect to such party has occurred and is continuing</w:t>
      </w:r>
      <w:ins w:id="20" w:author="rbruce2" w:date="2001-03-23T10:58:00Z">
        <w:r>
          <w:rPr>
            <w:rFonts w:ascii="Times New Roman" w:hAnsi="Times New Roman"/>
            <w:sz w:val="22"/>
          </w:rPr>
          <w:t xml:space="preserve"> [or (iii) with respect to Party B, a Material Adverse Change has occurred and is continuing]</w:t>
        </w:r>
      </w:ins>
      <w:ins w:id="21" w:author="rbruce2" w:date="2001-03-23T10:58:00Z">
        <w:r>
          <w:rPr>
            <w:rStyle w:val="FootnoteCharacters"/>
            <w:rFonts w:ascii="Times New Roman" w:hAnsi="Times New Roman"/>
            <w:lang w:val="en-US" w:eastAsia="en-US"/>
          </w:rPr>
          <w:t>4</w:t>
        </w:r>
      </w:ins>
      <w:r>
        <w:rPr>
          <w:rFonts w:ascii="Times New Roman" w:hAnsi="Times New Roman"/>
          <w:sz w:val="22"/>
        </w:rPr>
        <w:t>:</w:t>
      </w:r>
    </w:p>
    <w:p>
      <w:pPr>
        <w:pStyle w:val="Normal"/>
        <w:widowControl/>
        <w:bidi w:val="0"/>
        <w:ind w:hanging="720" w:start="2160" w:end="0"/>
        <w:jc w:val="both"/>
        <w:rPr>
          <w:rFonts w:ascii="Times New Roman" w:hAnsi="Times New Roman"/>
          <w:sz w:val="22"/>
        </w:rPr>
      </w:pPr>
      <w:r>
        <w:rPr>
          <w:rFonts w:ascii="Times New Roman" w:hAnsi="Times New Roman"/>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widowControl/>
              <w:tabs>
                <w:tab w:val="clear" w:pos="720"/>
              </w:tabs>
              <w:bidi w:val="0"/>
              <w:ind w:hanging="0" w:start="0" w:end="0"/>
              <w:jc w:val="start"/>
              <w:rPr/>
            </w:pPr>
            <w:r>
              <w:rPr>
                <w:rFonts w:ascii="Times New Roman" w:hAnsi="Times New Roman"/>
                <w:b/>
                <w:sz w:val="22"/>
                <w:u w:val="single"/>
              </w:rPr>
              <w:t>THRESHOLD</w:t>
            </w:r>
          </w:p>
        </w:tc>
        <w:tc>
          <w:tcPr>
            <w:tcW w:w="2381" w:type="dxa"/>
            <w:tcBorders/>
          </w:tcPr>
          <w:p>
            <w:pPr>
              <w:pStyle w:val="Normal"/>
              <w:widowControl/>
              <w:tabs>
                <w:tab w:val="clear" w:pos="720"/>
              </w:tabs>
              <w:bidi w:val="0"/>
              <w:ind w:hanging="0" w:start="-18" w:end="0"/>
              <w:jc w:val="start"/>
              <w:rPr>
                <w:rFonts w:ascii="Times New Roman" w:hAnsi="Times New Roman"/>
                <w:b/>
                <w:sz w:val="22"/>
                <w:u w:val="single"/>
              </w:rPr>
            </w:pPr>
            <w:r>
              <w:rPr>
                <w:rFonts w:ascii="Times New Roman" w:hAnsi="Times New Roman"/>
                <w:b/>
                <w:sz w:val="22"/>
                <w:u w:val="single"/>
              </w:rPr>
              <w:t>S&amp;P CREDIT RATING</w:t>
            </w:r>
          </w:p>
          <w:p>
            <w:pPr>
              <w:pStyle w:val="Normal"/>
              <w:widowControl/>
              <w:tabs>
                <w:tab w:val="clear" w:pos="720"/>
              </w:tabs>
              <w:bidi w:val="0"/>
              <w:ind w:hanging="0" w:start="-18" w:end="0"/>
              <w:jc w:val="start"/>
              <w:rPr>
                <w:rFonts w:ascii="Times New Roman" w:hAnsi="Times New Roman"/>
                <w:sz w:val="22"/>
              </w:rPr>
            </w:pPr>
            <w:r>
              <w:rPr>
                <w:rFonts w:ascii="Times New Roman" w:hAnsi="Times New Roman"/>
                <w:sz w:val="22"/>
              </w:rPr>
            </w:r>
          </w:p>
        </w:tc>
        <w:tc>
          <w:tcPr>
            <w:tcW w:w="2479" w:type="dxa"/>
            <w:tcBorders/>
          </w:tcPr>
          <w:p>
            <w:pPr>
              <w:pStyle w:val="Normal"/>
              <w:widowControl/>
              <w:tabs>
                <w:tab w:val="clear" w:pos="720"/>
              </w:tabs>
              <w:bidi w:val="0"/>
              <w:ind w:hanging="0" w:start="0" w:end="0"/>
              <w:jc w:val="start"/>
              <w:rPr>
                <w:rFonts w:ascii="Times New Roman" w:hAnsi="Times New Roman"/>
                <w:b/>
                <w:sz w:val="22"/>
                <w:u w:val="single"/>
              </w:rPr>
            </w:pPr>
            <w:r>
              <w:rPr>
                <w:rFonts w:ascii="Times New Roman" w:hAnsi="Times New Roman"/>
                <w:b/>
                <w:sz w:val="22"/>
                <w:u w:val="single"/>
              </w:rPr>
              <w:t>MOODY'S CREDIT RATING</w:t>
            </w:r>
          </w:p>
          <w:p>
            <w:pPr>
              <w:pStyle w:val="Normal"/>
              <w:widowControl/>
              <w:tabs>
                <w:tab w:val="clear" w:pos="720"/>
              </w:tabs>
              <w:bidi w:val="0"/>
              <w:ind w:hanging="0" w:start="0" w:end="0"/>
              <w:jc w:val="start"/>
              <w:rPr>
                <w:rFonts w:ascii="Times New Roman" w:hAnsi="Times New Roman"/>
                <w:b/>
                <w:sz w:val="22"/>
                <w:u w:val="single"/>
              </w:rPr>
            </w:pPr>
            <w:r>
              <w:rPr>
                <w:rFonts w:ascii="Times New Roman" w:hAnsi="Times New Roman"/>
                <w:b/>
                <w:sz w:val="22"/>
                <w:u w:val="single"/>
              </w:rPr>
            </w:r>
          </w:p>
        </w:tc>
      </w:tr>
      <w:tr>
        <w:trPr/>
        <w:tc>
          <w:tcPr>
            <w:tcW w:w="2520" w:type="dxa"/>
            <w:tcBorders/>
          </w:tcPr>
          <w:p>
            <w:pPr>
              <w:pStyle w:val="Normal"/>
              <w:widowControl/>
              <w:tabs>
                <w:tab w:val="clear" w:pos="720"/>
              </w:tabs>
              <w:bidi w:val="0"/>
              <w:ind w:hanging="0" w:start="0" w:end="0"/>
              <w:jc w:val="start"/>
              <w:rPr/>
            </w:pPr>
            <w:r>
              <w:rPr>
                <w:rFonts w:ascii="Times New Roman" w:hAnsi="Times New Roman"/>
                <w:sz w:val="22"/>
              </w:rPr>
              <w:t>U.S. $ ______________</w:t>
            </w:r>
          </w:p>
        </w:tc>
        <w:tc>
          <w:tcPr>
            <w:tcW w:w="2381" w:type="dxa"/>
            <w:tcBorders/>
          </w:tcPr>
          <w:p>
            <w:pPr>
              <w:pStyle w:val="Normal"/>
              <w:widowControl/>
              <w:tabs>
                <w:tab w:val="clear" w:pos="720"/>
              </w:tabs>
              <w:bidi w:val="0"/>
              <w:ind w:hanging="0" w:start="-18" w:end="0"/>
              <w:jc w:val="start"/>
              <w:rPr/>
            </w:pPr>
            <w:r>
              <w:rPr>
                <w:rFonts w:ascii="Times New Roman" w:hAnsi="Times New Roman"/>
                <w:sz w:val="22"/>
              </w:rPr>
              <w:t>AA (or above)</w:t>
            </w:r>
          </w:p>
        </w:tc>
        <w:tc>
          <w:tcPr>
            <w:tcW w:w="2479" w:type="dxa"/>
            <w:tcBorders/>
          </w:tcPr>
          <w:p>
            <w:pPr>
              <w:pStyle w:val="Normal"/>
              <w:widowControl/>
              <w:tabs>
                <w:tab w:val="clear" w:pos="720"/>
              </w:tabs>
              <w:bidi w:val="0"/>
              <w:ind w:hanging="0" w:start="0" w:end="0"/>
              <w:jc w:val="start"/>
              <w:rPr/>
            </w:pPr>
            <w:r>
              <w:rPr>
                <w:rFonts w:ascii="Times New Roman" w:hAnsi="Times New Roman"/>
                <w:sz w:val="22"/>
              </w:rPr>
              <w:t>Aa2 (or above)</w:t>
            </w:r>
          </w:p>
        </w:tc>
      </w:tr>
      <w:tr>
        <w:trPr/>
        <w:tc>
          <w:tcPr>
            <w:tcW w:w="2520" w:type="dxa"/>
            <w:tcBorders/>
          </w:tcPr>
          <w:p>
            <w:pPr>
              <w:pStyle w:val="Normal"/>
              <w:widowControl/>
              <w:bidi w:val="0"/>
              <w:ind w:hanging="0" w:start="0" w:end="0"/>
              <w:jc w:val="start"/>
              <w:rPr/>
            </w:pPr>
            <w:r>
              <w:rPr>
                <w:rFonts w:ascii="Times New Roman" w:hAnsi="Times New Roman"/>
                <w:sz w:val="22"/>
              </w:rPr>
              <w:t>U.S. $ ______________</w:t>
            </w:r>
          </w:p>
        </w:tc>
        <w:tc>
          <w:tcPr>
            <w:tcW w:w="2381" w:type="dxa"/>
            <w:tcBorders/>
          </w:tcPr>
          <w:p>
            <w:pPr>
              <w:pStyle w:val="Normal"/>
              <w:widowControl/>
              <w:bidi w:val="0"/>
              <w:ind w:hanging="0" w:start="-18" w:end="0"/>
              <w:jc w:val="start"/>
              <w:rPr/>
            </w:pPr>
            <w:r>
              <w:rPr>
                <w:rFonts w:ascii="Times New Roman" w:hAnsi="Times New Roman"/>
                <w:sz w:val="22"/>
              </w:rPr>
              <w:t>AA- to A-</w:t>
            </w:r>
          </w:p>
        </w:tc>
        <w:tc>
          <w:tcPr>
            <w:tcW w:w="2479" w:type="dxa"/>
            <w:tcBorders/>
          </w:tcPr>
          <w:p>
            <w:pPr>
              <w:pStyle w:val="Normal"/>
              <w:widowControl/>
              <w:bidi w:val="0"/>
              <w:ind w:hanging="0" w:start="0" w:end="0"/>
              <w:jc w:val="start"/>
              <w:rPr/>
            </w:pPr>
            <w:r>
              <w:rPr>
                <w:rFonts w:ascii="Times New Roman" w:hAnsi="Times New Roman"/>
                <w:sz w:val="22"/>
              </w:rPr>
              <w:t>Aa3 to A3</w:t>
            </w:r>
          </w:p>
        </w:tc>
      </w:tr>
      <w:tr>
        <w:trPr/>
        <w:tc>
          <w:tcPr>
            <w:tcW w:w="2520" w:type="dxa"/>
            <w:tcBorders/>
          </w:tcPr>
          <w:p>
            <w:pPr>
              <w:pStyle w:val="Normal"/>
              <w:widowControl/>
              <w:bidi w:val="0"/>
              <w:ind w:hanging="0" w:start="0" w:end="0"/>
              <w:jc w:val="start"/>
              <w:rPr/>
            </w:pPr>
            <w:r>
              <w:rPr>
                <w:rFonts w:ascii="Times New Roman" w:hAnsi="Times New Roman"/>
                <w:sz w:val="22"/>
              </w:rPr>
              <w:t>U.S. $ ______________</w:t>
            </w:r>
          </w:p>
        </w:tc>
        <w:tc>
          <w:tcPr>
            <w:tcW w:w="2381" w:type="dxa"/>
            <w:tcBorders/>
          </w:tcPr>
          <w:p>
            <w:pPr>
              <w:pStyle w:val="Normal"/>
              <w:widowControl/>
              <w:bidi w:val="0"/>
              <w:ind w:hanging="0" w:start="-18" w:end="0"/>
              <w:jc w:val="start"/>
              <w:rPr/>
            </w:pPr>
            <w:r>
              <w:rPr>
                <w:rFonts w:ascii="Times New Roman" w:hAnsi="Times New Roman"/>
                <w:sz w:val="22"/>
              </w:rPr>
              <w:t>BBB+ and BBB</w:t>
            </w:r>
          </w:p>
        </w:tc>
        <w:tc>
          <w:tcPr>
            <w:tcW w:w="2479" w:type="dxa"/>
            <w:tcBorders/>
          </w:tcPr>
          <w:p>
            <w:pPr>
              <w:pStyle w:val="Normal"/>
              <w:widowControl/>
              <w:bidi w:val="0"/>
              <w:ind w:hanging="0" w:start="0" w:end="0"/>
              <w:jc w:val="start"/>
              <w:rPr/>
            </w:pPr>
            <w:r>
              <w:rPr>
                <w:rFonts w:ascii="Times New Roman" w:hAnsi="Times New Roman"/>
                <w:sz w:val="22"/>
              </w:rPr>
              <w:t>Baa1 and Baa2</w:t>
            </w:r>
          </w:p>
        </w:tc>
      </w:tr>
      <w:tr>
        <w:trPr/>
        <w:tc>
          <w:tcPr>
            <w:tcW w:w="2520" w:type="dxa"/>
            <w:tcBorders/>
          </w:tcPr>
          <w:p>
            <w:pPr>
              <w:pStyle w:val="Normal"/>
              <w:widowControl/>
              <w:bidi w:val="0"/>
              <w:ind w:hanging="0" w:start="0" w:end="0"/>
              <w:jc w:val="start"/>
              <w:rPr/>
            </w:pPr>
            <w:r>
              <w:rPr>
                <w:rFonts w:ascii="Times New Roman" w:hAnsi="Times New Roman"/>
                <w:sz w:val="22"/>
              </w:rPr>
              <w:t>U.S. $ _____________</w:t>
            </w:r>
          </w:p>
        </w:tc>
        <w:tc>
          <w:tcPr>
            <w:tcW w:w="2381" w:type="dxa"/>
            <w:tcBorders/>
          </w:tcPr>
          <w:p>
            <w:pPr>
              <w:pStyle w:val="Normal"/>
              <w:widowControl/>
              <w:bidi w:val="0"/>
              <w:ind w:hanging="0" w:start="-18" w:end="0"/>
              <w:jc w:val="start"/>
              <w:rPr/>
            </w:pPr>
            <w:r>
              <w:rPr>
                <w:rFonts w:ascii="Times New Roman" w:hAnsi="Times New Roman"/>
                <w:sz w:val="22"/>
              </w:rPr>
              <w:t>BBB-</w:t>
            </w:r>
          </w:p>
        </w:tc>
        <w:tc>
          <w:tcPr>
            <w:tcW w:w="2479" w:type="dxa"/>
            <w:tcBorders/>
          </w:tcPr>
          <w:p>
            <w:pPr>
              <w:pStyle w:val="Normal"/>
              <w:widowControl/>
              <w:bidi w:val="0"/>
              <w:ind w:hanging="0" w:start="0" w:end="0"/>
              <w:jc w:val="start"/>
              <w:rPr/>
            </w:pPr>
            <w:r>
              <w:rPr>
                <w:rFonts w:ascii="Times New Roman" w:hAnsi="Times New Roman"/>
                <w:sz w:val="22"/>
              </w:rPr>
              <w:t>Baa3</w:t>
            </w:r>
          </w:p>
        </w:tc>
      </w:tr>
      <w:tr>
        <w:trPr/>
        <w:tc>
          <w:tcPr>
            <w:tcW w:w="2520" w:type="dxa"/>
            <w:tcBorders/>
          </w:tcPr>
          <w:p>
            <w:pPr>
              <w:pStyle w:val="Normal"/>
              <w:widowControl/>
              <w:tabs>
                <w:tab w:val="clear" w:pos="720"/>
              </w:tabs>
              <w:bidi w:val="0"/>
              <w:ind w:hanging="0" w:start="0" w:end="0"/>
              <w:jc w:val="start"/>
              <w:rPr/>
            </w:pPr>
            <w:r>
              <w:rPr>
                <w:rFonts w:ascii="Times New Roman" w:hAnsi="Times New Roman"/>
                <w:sz w:val="22"/>
              </w:rPr>
              <w:t>U.S. $ 0</w:t>
            </w:r>
          </w:p>
        </w:tc>
        <w:tc>
          <w:tcPr>
            <w:tcW w:w="2381" w:type="dxa"/>
            <w:tcBorders/>
          </w:tcPr>
          <w:p>
            <w:pPr>
              <w:pStyle w:val="Normal"/>
              <w:widowControl/>
              <w:tabs>
                <w:tab w:val="clear" w:pos="720"/>
              </w:tabs>
              <w:bidi w:val="0"/>
              <w:ind w:hanging="0" w:start="-18" w:end="0"/>
              <w:jc w:val="start"/>
              <w:rPr/>
            </w:pPr>
            <w:r>
              <w:rPr>
                <w:rFonts w:ascii="Times New Roman" w:hAnsi="Times New Roman"/>
                <w:sz w:val="22"/>
              </w:rPr>
              <w:t>Below BBB-</w:t>
            </w:r>
          </w:p>
        </w:tc>
        <w:tc>
          <w:tcPr>
            <w:tcW w:w="2479" w:type="dxa"/>
            <w:tcBorders/>
          </w:tcPr>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t>Below Baa3]</w:t>
            </w:r>
            <w:r>
              <w:rPr>
                <w:rStyle w:val="FootnoteReference"/>
              </w:rPr>
              <w:footnoteReference w:id="6"/>
            </w:r>
          </w:p>
        </w:tc>
      </w:tr>
    </w:tbl>
    <w:p>
      <w:pPr>
        <w:pStyle w:val="Normal"/>
        <w:widowControl/>
        <w:bidi w:val="0"/>
        <w:ind w:hanging="720" w:start="216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w:t>
      </w:r>
      <w:del w:id="22" w:author="rbruce2" w:date="2001-03-23T11:00:00Z">
        <w:r>
          <w:rPr>
            <w:rFonts w:ascii="Times New Roman" w:hAnsi="Times New Roman"/>
            <w:sz w:val="22"/>
          </w:rPr>
          <w:delText>1</w:delText>
        </w:r>
      </w:del>
      <w:ins w:id="23" w:author="rbruce2" w:date="2001-03-23T11:00:00Z">
        <w:r>
          <w:rPr>
            <w:rFonts w:ascii="Times New Roman" w:hAnsi="Times New Roman"/>
            <w:sz w:val="22"/>
          </w:rPr>
          <w:t>0</w:t>
        </w:r>
      </w:ins>
      <w:r>
        <w:rPr>
          <w:rFonts w:ascii="Times New Roman" w:hAnsi="Times New Roman"/>
          <w:sz w:val="22"/>
        </w:rPr>
        <w:t>.</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firstLine="360" w:start="720" w:end="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w:t>
      </w:r>
      <w:del w:id="24" w:author="rbruce2" w:date="2001-03-23T11:00:00Z">
        <w:r>
          <w:rPr>
            <w:rFonts w:ascii="Times New Roman" w:hAnsi="Times New Roman"/>
            <w:sz w:val="22"/>
          </w:rPr>
          <w:delText>1</w:delText>
        </w:r>
      </w:del>
      <w:ins w:id="25" w:author="rbruce2" w:date="2001-03-23T11:00:00Z">
        <w:r>
          <w:rPr>
            <w:rFonts w:ascii="Times New Roman" w:hAnsi="Times New Roman"/>
            <w:sz w:val="22"/>
          </w:rPr>
          <w:t>0</w:t>
        </w:r>
      </w:ins>
      <w:r>
        <w:rPr>
          <w:rFonts w:ascii="Times New Roman" w:hAnsi="Times New Roman"/>
          <w:sz w:val="22"/>
        </w:rPr>
        <w:t>.</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xml:space="preserve">  The Delivery Amount will be rounded up to the nearest integral multiple of U.S. $____ and the Return Amount will be rounded down to the nearest integral multiple of U.S. $____.</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widowControl/>
        <w:bidi w:val="0"/>
        <w:spacing w:before="240" w:after="0"/>
        <w:ind w:hanging="0" w:start="720" w:end="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2, the party making the demand under Paragraph 2; for purposes of Paragraph 3(c), the Transferee for purposes of calculating the Value of the New Credit Support and Original Credit Support involved in the exchange; for purposes of Paragraph 4, the Transferee; and for purposes of Paragraph 5(c), the Transferee receiving or deemed to receive the Distributions or the Interest Amount, as applicable; provided, however, that in all cases, if an Event of Default or Potential Event of Default </w:t>
      </w:r>
      <w:ins w:id="26" w:author="rbruce2" w:date="2001-03-23T11:07:00Z">
        <w:r>
          <w:rPr>
            <w:rFonts w:ascii="Times New Roman" w:hAnsi="Times New Roman"/>
            <w:sz w:val="22"/>
          </w:rPr>
          <w:t xml:space="preserve">or Specified Condition </w:t>
        </w:r>
      </w:ins>
      <w:r>
        <w:rPr>
          <w:rFonts w:ascii="Times New Roman" w:hAnsi="Times New Roman"/>
          <w:sz w:val="22"/>
        </w:rPr>
        <w:t xml:space="preserve">has occurred and is continuing with respect to the party designated as the Valuation Agent, then in such case, and for so long as the Event of Default or Potential Event of Default </w:t>
      </w:r>
      <w:ins w:id="27" w:author="rbruce2" w:date="2001-03-23T11:07:00Z">
        <w:r>
          <w:rPr>
            <w:rFonts w:ascii="Times New Roman" w:hAnsi="Times New Roman"/>
            <w:sz w:val="22"/>
          </w:rPr>
          <w:t xml:space="preserve">or Specified Condition </w:t>
        </w:r>
      </w:ins>
      <w:r>
        <w:rPr>
          <w:rFonts w:ascii="Times New Roman" w:hAnsi="Times New Roman"/>
          <w:sz w:val="22"/>
        </w:rPr>
        <w:t>continues, the other party shall be the Valuation Agent.</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widowControl/>
        <w:bidi w:val="0"/>
        <w:ind w:hanging="720" w:start="1440" w:end="0"/>
        <w:jc w:val="both"/>
        <w:rPr>
          <w:rFonts w:ascii="Times New Roman" w:hAnsi="Times New Roman"/>
          <w:sz w:val="22"/>
        </w:rPr>
      </w:pPr>
      <w:r>
        <w:rPr>
          <w:rFonts w:ascii="Times New Roman" w:hAnsi="Times New Roman"/>
          <w:sz w:val="22"/>
        </w:rPr>
      </w:r>
    </w:p>
    <w:p>
      <w:pPr>
        <w:pStyle w:val="Normal"/>
        <w:widowControl/>
        <w:bidi w:val="0"/>
        <w:ind w:hanging="360" w:start="1440" w:end="0"/>
        <w:jc w:val="both"/>
        <w:rPr>
          <w:rFonts w:ascii="Times New Roman" w:hAnsi="Times New Roman"/>
          <w:sz w:val="22"/>
        </w:rPr>
      </w:pPr>
      <w:r>
        <w:rPr>
          <w:rFonts w:ascii="Times New Roman" w:hAnsi="Times New Roman"/>
          <w:sz w:val="22"/>
        </w:rPr>
        <w:t>[  ]</w:t>
        <w:tab/>
        <w:t>the close of business in the city of the Valuation Agent on the Valuation Date or date of calculation, as applicable;</w:t>
      </w:r>
    </w:p>
    <w:p>
      <w:pPr>
        <w:pStyle w:val="Normal"/>
        <w:widowControl/>
        <w:bidi w:val="0"/>
        <w:ind w:hanging="360" w:start="1440" w:end="0"/>
        <w:jc w:val="both"/>
        <w:rPr>
          <w:rFonts w:ascii="Times New Roman" w:hAnsi="Times New Roman"/>
          <w:sz w:val="22"/>
        </w:rPr>
      </w:pPr>
      <w:r>
        <w:rPr>
          <w:rFonts w:ascii="Times New Roman" w:hAnsi="Times New Roman"/>
          <w:sz w:val="22"/>
        </w:rPr>
      </w:r>
    </w:p>
    <w:p>
      <w:pPr>
        <w:pStyle w:val="Normal"/>
        <w:widowControl/>
        <w:bidi w:val="0"/>
        <w:ind w:firstLine="360" w:start="720" w:end="0"/>
        <w:jc w:val="both"/>
        <w:rPr>
          <w:rFonts w:ascii="Times New Roman" w:hAnsi="Times New Roman"/>
          <w:sz w:val="22"/>
        </w:rPr>
      </w:pPr>
      <w:r>
        <w:rPr>
          <w:rFonts w:ascii="Times New Roman" w:hAnsi="Times New Roman"/>
          <w:sz w:val="22"/>
        </w:rPr>
        <w:t>[X]</w:t>
        <w:tab/>
        <w:t xml:space="preserve">the close of business in the city of the Valuation Agent on the Local Business Day before the </w:t>
        <w:tab/>
        <w:t>Valuation Date or date of calculation, as applicable;</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widowControl/>
        <w:bidi w:val="0"/>
        <w:ind w:hanging="0" w:start="36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11:00 a.m., London time, on a Local Business Day.</w:t>
      </w:r>
    </w:p>
    <w:p>
      <w:pPr>
        <w:pStyle w:val="Normal"/>
        <w:widowControl/>
        <w:bidi w:val="0"/>
        <w:ind w:hanging="720" w:start="720" w:end="0"/>
        <w:jc w:val="both"/>
        <w:rPr>
          <w:rFonts w:ascii="Times New Roman" w:hAnsi="Times New Roman"/>
          <w:sz w:val="22"/>
          <w:ins w:id="29" w:author="rbruce2" w:date="2001-03-23T11:12:00Z"/>
        </w:rPr>
      </w:pPr>
      <w:ins w:id="28" w:author="rbruce2" w:date="2001-03-23T11:12:00Z">
        <w:r>
          <w:rPr>
            <w:rFonts w:ascii="Times New Roman" w:hAnsi="Times New Roman"/>
            <w:sz w:val="22"/>
          </w:rPr>
        </w:r>
      </w:ins>
    </w:p>
    <w:p>
      <w:pPr>
        <w:pStyle w:val="Normal"/>
        <w:widowControl/>
        <w:bidi w:val="0"/>
        <w:ind w:hanging="720" w:start="720" w:end="0"/>
        <w:jc w:val="both"/>
        <w:rPr>
          <w:rFonts w:ascii="Times New Roman" w:hAnsi="Times New Roman"/>
          <w:sz w:val="22"/>
        </w:rPr>
      </w:pPr>
      <w:ins w:id="30" w:author="rbruce2" w:date="2001-03-23T11:12:00Z">
        <w:r>
          <w:rPr>
            <w:rFonts w:ascii="Times New Roman" w:hAnsi="Times New Roman"/>
            <w:sz w:val="22"/>
          </w:rPr>
          <w:tab/>
          <w:t xml:space="preserve">(v)  </w:t>
        </w:r>
      </w:ins>
      <w:ins w:id="31" w:author="rbruce2" w:date="2001-03-23T11:12:00Z">
        <w:r>
          <w:rPr>
            <w:rFonts w:ascii="Times New Roman" w:hAnsi="Times New Roman"/>
            <w:b/>
            <w:sz w:val="22"/>
          </w:rPr>
          <w:t xml:space="preserve">Specified Condition.  </w:t>
        </w:r>
      </w:ins>
      <w:ins w:id="32" w:author="rbruce2" w:date="2001-03-23T11:12:00Z">
        <w:r>
          <w:rPr>
            <w:rFonts w:ascii="Times New Roman" w:hAnsi="Times New Roman"/>
            <w:sz w:val="22"/>
          </w:rPr>
          <w:t xml:space="preserve">The following Termination Event(s) will be a </w:t>
        </w:r>
      </w:ins>
      <w:ins w:id="33" w:author="rbruce2" w:date="2001-03-23T11:12:00Z">
        <w:r>
          <w:rPr>
            <w:rFonts w:ascii="Times New Roman" w:hAnsi="Times New Roman"/>
            <w:b/>
            <w:sz w:val="22"/>
          </w:rPr>
          <w:t>“Specified Condition”</w:t>
        </w:r>
      </w:ins>
      <w:ins w:id="34" w:author="rbruce2" w:date="2001-03-23T11:12:00Z">
        <w:r>
          <w:rPr>
            <w:rFonts w:ascii="Times New Roman" w:hAnsi="Times New Roman"/>
            <w:sz w:val="22"/>
          </w:rPr>
          <w:t xml:space="preserve"> for the party specified (that party being the Affected Party if the Termination Event occurs with respect to that party):</w:t>
        </w:r>
      </w:ins>
    </w:p>
    <w:p>
      <w:pPr>
        <w:pStyle w:val="Normal"/>
        <w:widowControl/>
        <w:bidi w:val="0"/>
        <w:ind w:hanging="720" w:start="720" w:end="0"/>
        <w:jc w:val="both"/>
        <w:rPr>
          <w:rFonts w:ascii="Times New Roman" w:hAnsi="Times New Roman"/>
          <w:sz w:val="22"/>
          <w:ins w:id="36" w:author="rbruce2" w:date="2001-03-23T11:14:00Z"/>
        </w:rPr>
      </w:pPr>
      <w:ins w:id="35" w:author="rbruce2" w:date="2001-03-23T11:14:00Z">
        <w:r>
          <w:rPr>
            <w:rFonts w:ascii="Times New Roman" w:hAnsi="Times New Roman"/>
            <w:sz w:val="22"/>
          </w:rPr>
        </w:r>
      </w:ins>
    </w:p>
    <w:p>
      <w:pPr>
        <w:pStyle w:val="Normal"/>
        <w:widowControl/>
        <w:bidi w:val="0"/>
        <w:ind w:hanging="720" w:start="720" w:end="0"/>
        <w:jc w:val="both"/>
        <w:rPr>
          <w:rFonts w:ascii="Times New Roman" w:hAnsi="Times New Roman"/>
          <w:b/>
          <w:sz w:val="22"/>
        </w:rPr>
      </w:pPr>
      <w:ins w:id="37" w:author="rbruce2" w:date="2001-03-23T11:14:00Z">
        <w:r>
          <w:rPr>
            <w:rFonts w:ascii="Times New Roman" w:hAnsi="Times New Roman"/>
            <w:sz w:val="22"/>
          </w:rPr>
          <w:tab/>
        </w:r>
      </w:ins>
      <w:ins w:id="38" w:author="rbruce2" w:date="2001-03-23T11:14:00Z">
        <w:r>
          <w:rPr>
            <w:rFonts w:ascii="Times New Roman" w:hAnsi="Times New Roman"/>
            <w:b/>
            <w:sz w:val="22"/>
          </w:rPr>
          <w:t>Specified Condition</w:t>
          <w:tab/>
          <w:tab/>
          <w:tab/>
          <w:t>Party A</w:t>
          <w:tab/>
          <w:t>Party B</w:t>
        </w:r>
      </w:ins>
    </w:p>
    <w:p>
      <w:pPr>
        <w:pStyle w:val="Normal"/>
        <w:widowControl/>
        <w:bidi w:val="0"/>
        <w:ind w:hanging="720" w:start="720" w:end="0"/>
        <w:jc w:val="both"/>
        <w:rPr>
          <w:rFonts w:ascii="Times New Roman" w:hAnsi="Times New Roman"/>
          <w:b/>
          <w:sz w:val="22"/>
        </w:rPr>
      </w:pPr>
      <w:r>
        <w:rPr>
          <w:rFonts w:ascii="Times New Roman" w:hAnsi="Times New Roman"/>
          <w:b/>
          <w:sz w:val="22"/>
        </w:rPr>
      </w:r>
    </w:p>
    <w:p>
      <w:pPr>
        <w:pStyle w:val="Normal"/>
        <w:widowControl/>
        <w:bidi w:val="0"/>
        <w:ind w:hanging="720" w:start="720" w:end="0"/>
        <w:jc w:val="both"/>
        <w:rPr>
          <w:rFonts w:ascii="Times New Roman" w:hAnsi="Times New Roman"/>
          <w:sz w:val="22"/>
          <w:ins w:id="40" w:author="rbruce2" w:date="2001-03-23T11:15:00Z"/>
        </w:rPr>
      </w:pPr>
      <w:ins w:id="39" w:author="rbruce2" w:date="2001-03-23T11:15:00Z">
        <w:r>
          <w:rPr>
            <w:rFonts w:ascii="Times New Roman" w:hAnsi="Times New Roman"/>
            <w:sz w:val="22"/>
          </w:rPr>
          <w:tab/>
          <w:t>Illegality</w:t>
          <w:tab/>
          <w:tab/>
          <w:tab/>
          <w:tab/>
          <w:t xml:space="preserve">   [X]</w:t>
          <w:tab/>
          <w:tab/>
          <w:t xml:space="preserve">   [X]</w:t>
        </w:r>
      </w:ins>
    </w:p>
    <w:p>
      <w:pPr>
        <w:pStyle w:val="Normal"/>
        <w:widowControl/>
        <w:bidi w:val="0"/>
        <w:ind w:hanging="720" w:start="720" w:end="0"/>
        <w:jc w:val="both"/>
        <w:rPr>
          <w:rFonts w:ascii="Times New Roman" w:hAnsi="Times New Roman"/>
          <w:sz w:val="22"/>
          <w:ins w:id="42" w:author="rbruce2" w:date="2001-03-23T11:15:00Z"/>
        </w:rPr>
      </w:pPr>
      <w:ins w:id="41" w:author="rbruce2" w:date="2001-03-23T11:15:00Z">
        <w:r>
          <w:rPr>
            <w:rFonts w:ascii="Times New Roman" w:hAnsi="Times New Roman"/>
            <w:sz w:val="22"/>
          </w:rPr>
        </w:r>
      </w:ins>
    </w:p>
    <w:p>
      <w:pPr>
        <w:pStyle w:val="Normal"/>
        <w:widowControl/>
        <w:bidi w:val="0"/>
        <w:ind w:hanging="720" w:start="720" w:end="0"/>
        <w:jc w:val="both"/>
        <w:rPr>
          <w:rFonts w:ascii="Times New Roman" w:hAnsi="Times New Roman"/>
          <w:sz w:val="22"/>
        </w:rPr>
      </w:pPr>
      <w:ins w:id="43" w:author="rbruce2" w:date="2001-03-23T11:15:00Z">
        <w:r>
          <w:rPr>
            <w:rFonts w:ascii="Times New Roman" w:hAnsi="Times New Roman"/>
            <w:sz w:val="22"/>
          </w:rPr>
          <w:tab/>
          <w:t>Tax Event</w:t>
          <w:tab/>
          <w:tab/>
          <w:tab/>
          <w:tab/>
          <w:t xml:space="preserve">   [X]</w:t>
          <w:tab/>
          <w:tab/>
          <w:t xml:space="preserve">   [X]</w:t>
        </w:r>
      </w:ins>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ins w:id="45" w:author="rbruce2" w:date="2001-03-23T11:16:00Z"/>
        </w:rPr>
      </w:pPr>
      <w:ins w:id="44" w:author="rbruce2" w:date="2001-03-23T11:16:00Z">
        <w:r>
          <w:rPr>
            <w:rFonts w:ascii="Times New Roman" w:hAnsi="Times New Roman"/>
            <w:sz w:val="22"/>
          </w:rPr>
          <w:tab/>
          <w:t>Tax Event Upon Merger</w:t>
          <w:tab/>
          <w:tab/>
          <w:t xml:space="preserve">   [X]</w:t>
          <w:tab/>
          <w:tab/>
          <w:t xml:space="preserve">   [X]</w:t>
        </w:r>
      </w:ins>
    </w:p>
    <w:p>
      <w:pPr>
        <w:pStyle w:val="Normal"/>
        <w:widowControl/>
        <w:bidi w:val="0"/>
        <w:ind w:hanging="720" w:start="720" w:end="0"/>
        <w:jc w:val="both"/>
        <w:rPr>
          <w:rFonts w:ascii="Times New Roman" w:hAnsi="Times New Roman"/>
          <w:sz w:val="22"/>
          <w:ins w:id="47" w:author="rbruce2" w:date="2001-03-23T11:16:00Z"/>
        </w:rPr>
      </w:pPr>
      <w:ins w:id="46" w:author="rbruce2" w:date="2001-03-23T11:16:00Z">
        <w:r>
          <w:rPr>
            <w:rFonts w:ascii="Times New Roman" w:hAnsi="Times New Roman"/>
            <w:sz w:val="22"/>
          </w:rPr>
        </w:r>
      </w:ins>
    </w:p>
    <w:p>
      <w:pPr>
        <w:pStyle w:val="Normal"/>
        <w:widowControl/>
        <w:bidi w:val="0"/>
        <w:ind w:hanging="720" w:start="720" w:end="0"/>
        <w:jc w:val="both"/>
        <w:rPr>
          <w:rFonts w:ascii="Times New Roman" w:hAnsi="Times New Roman"/>
          <w:sz w:val="22"/>
        </w:rPr>
      </w:pPr>
      <w:ins w:id="48" w:author="rbruce2" w:date="2001-03-23T11:16:00Z">
        <w:r>
          <w:rPr>
            <w:rFonts w:ascii="Times New Roman" w:hAnsi="Times New Roman"/>
            <w:sz w:val="22"/>
          </w:rPr>
          <w:tab/>
          <w:t>Credit Event Upon Merger</w:t>
          <w:tab/>
          <w:tab/>
          <w:t xml:space="preserve">   [X]</w:t>
          <w:tab/>
          <w:tab/>
          <w:t xml:space="preserve">   [X]</w:t>
        </w:r>
      </w:ins>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rPr>
      </w:pPr>
      <w:ins w:id="49" w:author="rbruce2" w:date="2001-03-23T11:17:00Z">
        <w:r>
          <w:rPr>
            <w:rFonts w:ascii="Times New Roman" w:hAnsi="Times New Roman"/>
            <w:sz w:val="22"/>
          </w:rPr>
          <w:tab/>
          <w:t>Additional Termination Events:</w:t>
        </w:r>
      </w:ins>
      <w:ins w:id="50" w:author="rbruce2" w:date="2001-03-23T11:19:00Z">
        <w:r>
          <w:rPr>
            <w:rStyle w:val="FootnoteReference"/>
            <w:rFonts w:ascii="Times New Roman" w:hAnsi="Times New Roman"/>
            <w:lang w:val="en-US" w:eastAsia="en-US"/>
          </w:rPr>
          <w:footnoteReference w:id="7"/>
        </w:r>
      </w:ins>
      <w:ins w:id="51" w:author="rbruce2" w:date="2001-03-23T11:17:00Z">
        <w:r>
          <w:rPr>
            <w:rFonts w:ascii="Times New Roman" w:hAnsi="Times New Roman"/>
            <w:sz w:val="22"/>
          </w:rPr>
          <w:tab/>
        </w:r>
      </w:ins>
      <w:ins w:id="52" w:author="rbruce2" w:date="2001-03-23T11:20:00Z">
        <w:r>
          <w:rPr>
            <w:rFonts w:ascii="Times New Roman" w:hAnsi="Times New Roman"/>
            <w:sz w:val="22"/>
          </w:rPr>
          <w:t xml:space="preserve">  </w:t>
        </w:r>
      </w:ins>
      <w:ins w:id="53" w:author="rbruce2" w:date="2001-03-23T11:17:00Z">
        <w:r>
          <w:rPr>
            <w:rFonts w:ascii="Times New Roman" w:hAnsi="Times New Roman"/>
            <w:sz w:val="22"/>
          </w:rPr>
          <w:t>None</w:t>
          <w:tab/>
          <w:tab/>
        </w:r>
      </w:ins>
      <w:ins w:id="54" w:author="rbruce2" w:date="2001-03-23T11:20:00Z">
        <w:r>
          <w:rPr>
            <w:rFonts w:ascii="Times New Roman" w:hAnsi="Times New Roman"/>
            <w:sz w:val="22"/>
          </w:rPr>
          <w:t xml:space="preserve">  </w:t>
        </w:r>
      </w:ins>
      <w:ins w:id="55" w:author="rbruce2" w:date="2001-03-23T11:18:00Z">
        <w:r>
          <w:rPr>
            <w:rFonts w:ascii="Times New Roman" w:hAnsi="Times New Roman"/>
            <w:sz w:val="22"/>
          </w:rPr>
          <w:t xml:space="preserve">None        </w:t>
        </w:r>
      </w:ins>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b/>
          <w:sz w:val="22"/>
        </w:rPr>
      </w:pPr>
      <w:r>
        <w:rPr>
          <w:rFonts w:ascii="Times New Roman" w:hAnsi="Times New Roman"/>
          <w:sz w:val="22"/>
        </w:rPr>
        <w:t xml:space="preserve">(d)  </w:t>
      </w:r>
      <w:r>
        <w:rPr>
          <w:rFonts w:ascii="Times New Roman" w:hAnsi="Times New Roman"/>
          <w:b/>
          <w:sz w:val="22"/>
        </w:rPr>
        <w:t>Exchange Date. “Exchange Date”</w:t>
      </w:r>
      <w:r>
        <w:rPr>
          <w:rFonts w:ascii="Times New Roman" w:hAnsi="Times New Roman"/>
          <w:sz w:val="22"/>
        </w:rPr>
        <w:t xml:space="preserve"> has the meaning specified in Paragraph 3(c)(ii).</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rPr>
      </w:pPr>
      <w:r>
        <w:rPr>
          <w:rFonts w:ascii="Times New Roman" w:hAnsi="Times New Roman"/>
          <w:sz w:val="22"/>
        </w:rPr>
        <w:t xml:space="preserve">(e)  </w:t>
      </w:r>
      <w:r>
        <w:rPr>
          <w:rFonts w:ascii="Times New Roman" w:hAnsi="Times New Roman"/>
          <w:b/>
          <w:sz w:val="22"/>
        </w:rPr>
        <w:t>Dispute Resolution.</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London time, on the third Local Business Day following the date on which notice of the dispute is given under Paragraph 4.</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xml:space="preserve">  For the purpose of Paragraphs 4(a)(4)(i)(C) and 4(a)(4)(ii), the Value of the outstanding Credit Support Balance or of any transfer of Eligible Credit Support or Equivalent Credit Support, as the case may be, will be calculated as follows:</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1080" w:end="0"/>
        <w:jc w:val="both"/>
        <w:rPr>
          <w:rFonts w:ascii="Times New Roman" w:hAnsi="Times New Roman"/>
          <w:sz w:val="22"/>
        </w:rPr>
      </w:pPr>
      <w:r>
        <w:rPr>
          <w:rFonts w:ascii="Times New Roman" w:hAnsi="Times New Roman"/>
          <w:sz w:val="22"/>
        </w:rPr>
        <w:t>(A)  with respect to cash, the face amount thereof multiplied by the applicable Valuation Percentage, if any; and</w:t>
      </w:r>
    </w:p>
    <w:p>
      <w:pPr>
        <w:pStyle w:val="Normal"/>
        <w:widowControl/>
        <w:bidi w:val="0"/>
        <w:ind w:hanging="0" w:start="1080" w:end="0"/>
        <w:jc w:val="both"/>
        <w:rPr>
          <w:rFonts w:ascii="Times New Roman" w:hAnsi="Times New Roman"/>
          <w:sz w:val="22"/>
        </w:rPr>
      </w:pPr>
      <w:r>
        <w:rPr>
          <w:rFonts w:ascii="Times New Roman" w:hAnsi="Times New Roman"/>
          <w:sz w:val="22"/>
        </w:rPr>
        <w:br/>
        <w:t>(B) with respect to a Letter of Credit, the stated amount under the Letter of Credit then available to be unconditionally drawn by the Transferee thereof multiplied by the applicable Valuation Percentage, if any.</w:t>
      </w:r>
    </w:p>
    <w:p>
      <w:pPr>
        <w:pStyle w:val="Normal"/>
        <w:widowControl/>
        <w:bidi w:val="0"/>
        <w:ind w:hanging="0" w:start="108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xml:space="preserve">  The provisions of Paragraph 4 will apply except to the following extent: pending the resolution of a dispute, Transfer of the undisputed Value of Eligible Credit Support or Other Eligible Credit Support involved in the relevant demand will be due as provided in Paragraph 4 if the demand is given by the Notification Time but will be due on the second Local Business Day after the demand if the demand is given after the Notification Time.</w:t>
      </w:r>
    </w:p>
    <w:p>
      <w:pPr>
        <w:pStyle w:val="Normal"/>
        <w:widowControl/>
        <w:bidi w:val="0"/>
        <w:ind w:hanging="720" w:start="720" w:end="0"/>
        <w:jc w:val="both"/>
        <w:rPr>
          <w:rFonts w:ascii="Times New Roman" w:hAnsi="Times New Roman"/>
          <w:sz w:val="22"/>
          <w:ins w:id="57" w:author="rbruce2" w:date="2001-03-23T11:27:00Z"/>
        </w:rPr>
      </w:pPr>
      <w:ins w:id="56" w:author="rbruce2" w:date="2001-03-23T11:27:00Z">
        <w:r>
          <w:rPr>
            <w:rFonts w:ascii="Times New Roman" w:hAnsi="Times New Roman"/>
            <w:sz w:val="22"/>
          </w:rPr>
        </w:r>
      </w:ins>
    </w:p>
    <w:p>
      <w:pPr>
        <w:pStyle w:val="Normal"/>
        <w:widowControl/>
        <w:bidi w:val="0"/>
        <w:ind w:hanging="720" w:start="720" w:end="0"/>
        <w:jc w:val="both"/>
        <w:rPr>
          <w:rFonts w:ascii="Times New Roman" w:hAnsi="Times New Roman"/>
          <w:sz w:val="22"/>
        </w:rPr>
      </w:pPr>
      <w:ins w:id="58" w:author="rbruce2" w:date="2001-03-23T11:27:00Z">
        <w:r>
          <w:rPr>
            <w:rFonts w:ascii="Times New Roman" w:hAnsi="Times New Roman"/>
            <w:sz w:val="22"/>
          </w:rPr>
          <w:tab/>
        </w:r>
      </w:ins>
      <w:ins w:id="59" w:author="rbruce2" w:date="2001-03-23T11:31:00Z">
        <w:r>
          <w:rPr>
            <w:rFonts w:ascii="Times New Roman" w:hAnsi="Times New Roman"/>
            <w:sz w:val="22"/>
          </w:rPr>
          <w:t>[</w:t>
        </w:r>
      </w:ins>
      <w:ins w:id="60" w:author="rbruce2" w:date="2001-03-23T11:27:00Z">
        <w:r>
          <w:rPr>
            <w:rFonts w:ascii="Times New Roman" w:hAnsi="Times New Roman"/>
            <w:sz w:val="22"/>
          </w:rPr>
          <w:t>(iv)  The provisions of Paragraph 4(a)(4)(i)(B) are hereby amended by inserting the following immediately before the word “and” in line 6 thereof:</w:t>
        </w:r>
      </w:ins>
    </w:p>
    <w:p>
      <w:pPr>
        <w:pStyle w:val="Normal"/>
        <w:widowControl/>
        <w:bidi w:val="0"/>
        <w:ind w:hanging="720" w:start="720" w:end="0"/>
        <w:jc w:val="both"/>
        <w:rPr>
          <w:rFonts w:ascii="Times New Roman" w:hAnsi="Times New Roman"/>
          <w:sz w:val="22"/>
          <w:ins w:id="62" w:author="rbruce2" w:date="2001-03-23T11:29:00Z"/>
        </w:rPr>
      </w:pPr>
      <w:ins w:id="61" w:author="rbruce2" w:date="2001-03-23T11:29:00Z">
        <w:r>
          <w:rPr>
            <w:rFonts w:ascii="Times New Roman" w:hAnsi="Times New Roman"/>
            <w:sz w:val="22"/>
          </w:rPr>
        </w:r>
      </w:ins>
    </w:p>
    <w:p>
      <w:pPr>
        <w:pStyle w:val="Normal"/>
        <w:widowControl/>
        <w:bidi w:val="0"/>
        <w:ind w:hanging="1440" w:start="1440" w:end="753"/>
        <w:jc w:val="both"/>
        <w:rPr>
          <w:rFonts w:ascii="Times New Roman" w:hAnsi="Times New Roman"/>
        </w:rPr>
      </w:pPr>
      <w:ins w:id="63" w:author="rbruce2" w:date="2001-03-23T11:29:00Z">
        <w:r>
          <w:rPr>
            <w:rFonts w:ascii="Times New Roman" w:hAnsi="Times New Roman"/>
            <w:sz w:val="22"/>
          </w:rPr>
          <w:tab/>
        </w:r>
      </w:ins>
      <w:ins w:id="64" w:author="rbruce2" w:date="2001-03-23T11:29:00Z">
        <w:r>
          <w:rPr>
            <w:rFonts w:ascii="Times New Roman" w:hAnsi="Times New Roman"/>
            <w:i/>
          </w:rPr>
          <w:t>and further provided</w:t>
        </w:r>
      </w:ins>
      <w:ins w:id="65" w:author="rbruce2" w:date="2001-03-23T11:29:00Z">
        <w:r>
          <w:rPr>
            <w:rFonts w:ascii="Times New Roman" w:hAnsi="Times New Roman"/>
          </w:rPr>
          <w:t xml:space="preserve"> that if no quotation from a Reference Market-maker is available for such Transaction then quotations of rates or prices from one or more leading participants in the relevant market (s</w:t>
        </w:r>
      </w:ins>
      <w:ins w:id="66" w:author="rbruce2" w:date="2001-03-23T11:34:00Z">
        <w:r>
          <w:rPr>
            <w:rFonts w:ascii="Times New Roman" w:hAnsi="Times New Roman"/>
          </w:rPr>
          <w:t>e</w:t>
        </w:r>
      </w:ins>
      <w:ins w:id="67" w:author="rbruce2" w:date="2001-03-23T11:30:00Z">
        <w:r>
          <w:rPr>
            <w:rFonts w:ascii="Times New Roman" w:hAnsi="Times New Roman"/>
          </w:rPr>
          <w:t>lected in good faith) may be use for such Transaction;]</w:t>
        </w:r>
      </w:ins>
      <w:ins w:id="68" w:author="rbruce2" w:date="2001-03-23T11:32:00Z">
        <w:r>
          <w:rPr>
            <w:rStyle w:val="FootnoteReference"/>
            <w:lang w:val="en-US" w:eastAsia="en-US"/>
          </w:rPr>
          <w:footnoteReference w:id="8"/>
        </w:r>
      </w:ins>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rPr>
      </w:pPr>
      <w:r>
        <w:rPr>
          <w:rFonts w:ascii="Times New Roman" w:hAnsi="Times New Roman"/>
          <w:sz w:val="22"/>
        </w:rPr>
        <w:t>(f)</w:t>
        <w:tab/>
      </w:r>
      <w:r>
        <w:rPr>
          <w:rFonts w:ascii="Times New Roman" w:hAnsi="Times New Roman"/>
          <w:b/>
          <w:sz w:val="22"/>
        </w:rPr>
        <w:t>Distributions and Interest Amount.</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in relation to each Eligible Currency will be: (i) the Federal Funds Overnight Rate as from time to time in effect for the Base Currency; (ii)</w:t>
      </w:r>
      <w:r>
        <w:rPr>
          <w:rStyle w:val="FootnoteReference"/>
          <w:rFonts w:ascii="Times New Roman" w:hAnsi="Times New Roman"/>
          <w:sz w:val="22"/>
          <w:lang w:val="en-US" w:eastAsia="en-US"/>
        </w:rPr>
        <w:footnoteReference w:id="9"/>
      </w:r>
      <w:r>
        <w:rPr>
          <w:rFonts w:ascii="Times New Roman" w:hAnsi="Times New Roman"/>
          <w:sz w:val="22"/>
        </w:rPr>
        <w:t xml:space="preserve"> [One Week LIBOR as from time to time in effect for Sterling; and (iii) EURIBOR as from time to time in effect for EURO].</w:t>
      </w:r>
    </w:p>
    <w:p>
      <w:pPr>
        <w:pStyle w:val="Normal"/>
        <w:widowControl/>
        <w:bidi w:val="0"/>
        <w:ind w:hanging="720" w:start="144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xml:space="preserve">  The Transfer of the Interest Amount will be made on the last Local Business Day of each calendar month and on any Local Business Day that a Return Amount consisting wholly or partly of cash is transferred to the Transferor pursuant to Paragraph 2(b).</w:t>
      </w:r>
    </w:p>
    <w:p>
      <w:pPr>
        <w:pStyle w:val="Normal"/>
        <w:widowControl/>
        <w:bidi w:val="0"/>
        <w:ind w:hanging="720" w:start="144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 to Interest Amount.</w:t>
      </w:r>
      <w:r>
        <w:rPr>
          <w:rFonts w:ascii="Times New Roman" w:hAnsi="Times New Roman"/>
          <w:sz w:val="22"/>
        </w:rPr>
        <w:t xml:space="preserve">  The provisions of Paragraph 5(c)(ii) will apply except that if Transfer of an Interest Amount (or any portion thereof) to a Transferor on any day would result in, or increase, a Delivery Amount (treating the day as a Valuation Day, as provided in Paragraph 5(c)(ii)), but the Transferor would nonetheless have no obligation to make a Transfer pursuant to Paragraph 2(a) on that day if it were a Valuation Day (because the Delivery Amount is lower than the Transferor’s Minimum Transfer Amount or otherwise), the Transferee will be required to Transfer that Interest Amount (or portion thereof) to the Transferor, notwithstanding anything to the contrary in Paragraph 5(c)(ii).</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rPr>
      </w:pPr>
      <w:r>
        <w:rPr>
          <w:rFonts w:ascii="Times New Roman" w:hAnsi="Times New Roman"/>
          <w:sz w:val="22"/>
        </w:rPr>
        <w:t>(g)</w:t>
        <w:tab/>
      </w:r>
      <w:r>
        <w:rPr>
          <w:rFonts w:ascii="Times New Roman" w:hAnsi="Times New Roman"/>
          <w:b/>
          <w:sz w:val="22"/>
        </w:rPr>
        <w:t>Addresses for Transfers.</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981" w:start="1701" w:end="0"/>
        <w:jc w:val="both"/>
        <w:rPr>
          <w:rFonts w:ascii="Times New Roman" w:hAnsi="Times New Roman"/>
          <w:sz w:val="22"/>
        </w:rPr>
      </w:pPr>
      <w:r>
        <w:rPr>
          <w:rFonts w:ascii="Times New Roman" w:hAnsi="Times New Roman"/>
          <w:sz w:val="22"/>
        </w:rPr>
        <w:t>Party A:</w:t>
        <w:tab/>
        <w:t>To be provided in notice requesting delivery/return of Eligible Credit Support, Other Eligible Credit Support, Equivalent Credit Support or Other Equivalent Credit Support.</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981" w:start="1701" w:end="0"/>
        <w:jc w:val="both"/>
        <w:rPr>
          <w:rFonts w:ascii="Times New Roman" w:hAnsi="Times New Roman"/>
          <w:sz w:val="22"/>
        </w:rPr>
      </w:pPr>
      <w:r>
        <w:rPr>
          <w:rFonts w:ascii="Times New Roman" w:hAnsi="Times New Roman"/>
          <w:sz w:val="22"/>
        </w:rPr>
        <w:t>Party B:</w:t>
        <w:tab/>
        <w:t>To be provided in notice requesting delivery/return of Eligible Credit Support, Other Eligible Credit Support, Equivalent Credit Support or Other Equivalent Credit Support.</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keepNext w:val="true"/>
        <w:widowControl/>
        <w:bidi w:val="0"/>
        <w:ind w:hanging="720" w:start="720" w:end="0"/>
        <w:jc w:val="both"/>
        <w:rPr>
          <w:rFonts w:ascii="Times New Roman" w:hAnsi="Times New Roman"/>
          <w:sz w:val="22"/>
        </w:rPr>
      </w:pPr>
      <w:r>
        <w:rPr>
          <w:rFonts w:ascii="Times New Roman" w:hAnsi="Times New Roman"/>
          <w:sz w:val="22"/>
        </w:rPr>
        <w:t>(h)</w:t>
        <w:tab/>
      </w:r>
      <w:r>
        <w:rPr>
          <w:rFonts w:ascii="Times New Roman" w:hAnsi="Times New Roman"/>
          <w:b/>
          <w:sz w:val="22"/>
        </w:rPr>
        <w:t>Other Provisions.</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(i)  Paragraph 5(c)(i) is hereby amended by adding the following sentence:</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1134" w:end="0"/>
        <w:jc w:val="both"/>
        <w:rPr>
          <w:rFonts w:ascii="Times New Roman" w:hAnsi="Times New Roman"/>
          <w:sz w:val="22"/>
        </w:rPr>
      </w:pPr>
      <w:r>
        <w:rPr>
          <w:rFonts w:ascii="Times New Roman" w:hAnsi="Times New Roman"/>
          <w:sz w:val="22"/>
        </w:rPr>
        <w:t>“</w:t>
      </w:r>
      <w:r>
        <w:rPr>
          <w:rFonts w:ascii="Times New Roman" w:hAnsi="Times New Roman"/>
          <w:sz w:val="22"/>
        </w:rPr>
        <w:t>Subject to Paragraph 4 and only to the extent contemplated in the previous sentence, if a Transferee receives or is deemed to receive Distributions on a day that is not a Local Business Day, or after its close of business on a Local Business Day, it will transfer Distributions to the Transferor on the second following Local Business Day.”</w:t>
      </w:r>
    </w:p>
    <w:p>
      <w:pPr>
        <w:pStyle w:val="Normal"/>
        <w:widowControl/>
        <w:bidi w:val="0"/>
        <w:ind w:hanging="0" w:start="0" w:end="0"/>
        <w:jc w:val="both"/>
        <w:rPr>
          <w:rFonts w:ascii="Times New Roman" w:hAnsi="Times New Roman"/>
          <w:sz w:val="22"/>
        </w:rPr>
      </w:pPr>
      <w:r>
        <w:rPr>
          <w:rFonts w:ascii="Times New Roman" w:hAnsi="Times New Roman"/>
          <w:sz w:val="22"/>
        </w:rPr>
        <w:tab/>
      </w:r>
    </w:p>
    <w:p>
      <w:pPr>
        <w:pStyle w:val="BodyTextIndent3"/>
        <w:bidi w:val="0"/>
        <w:rPr>
          <w:rFonts w:ascii="Times New Roman" w:hAnsi="Times New Roman"/>
        </w:rPr>
      </w:pPr>
      <w:r>
        <w:rPr>
          <w:rFonts w:ascii="Times New Roman" w:hAnsi="Times New Roman"/>
        </w:rPr>
        <w:tab/>
        <w:t>(ii) Paragraph 10 is hereby amended by:</w:t>
      </w:r>
    </w:p>
    <w:p>
      <w:pPr>
        <w:pStyle w:val="BodyTextIndent3"/>
        <w:bidi w:val="0"/>
        <w:spacing w:before="120" w:after="0"/>
        <w:ind w:hanging="0" w:start="709" w:end="0"/>
        <w:rPr>
          <w:rFonts w:ascii="Times New Roman" w:hAnsi="Times New Roman"/>
        </w:rPr>
      </w:pPr>
      <w:r>
        <w:rPr>
          <w:rFonts w:ascii="Times New Roman" w:hAnsi="Times New Roman"/>
        </w:rPr>
        <w:t>(A) adding at the end of the definition of Local Business Day the following Subparagraph (v):</w:t>
      </w:r>
    </w:p>
    <w:p>
      <w:pPr>
        <w:pStyle w:val="Normal"/>
        <w:widowControl/>
        <w:bidi w:val="0"/>
        <w:ind w:hanging="709" w:start="1276" w:end="0"/>
        <w:jc w:val="both"/>
        <w:rPr>
          <w:rFonts w:ascii="Times New Roman" w:hAnsi="Times New Roman"/>
          <w:sz w:val="22"/>
        </w:rPr>
      </w:pPr>
      <w:r>
        <w:rPr>
          <w:rFonts w:ascii="Times New Roman" w:hAnsi="Times New Roman"/>
          <w:sz w:val="22"/>
        </w:rPr>
        <w:tab/>
        <w:tab/>
        <w:tab/>
        <w:br/>
        <w:t>“(v)</w:t>
        <w:tab/>
        <w:t>in relation to a transfer of a Letter of Credit, a day on which commercial banks are open for business (including dealings in foreign exchange and foreign currency deposits) in London and New York.”;</w:t>
      </w:r>
    </w:p>
    <w:p>
      <w:pPr>
        <w:pStyle w:val="BodyTextIndent2"/>
        <w:bidi w:val="0"/>
        <w:spacing w:before="120" w:after="0"/>
        <w:rPr>
          <w:rFonts w:ascii="Times New Roman" w:hAnsi="Times New Roman"/>
        </w:rPr>
      </w:pPr>
      <w:r>
        <w:rPr>
          <w:rFonts w:ascii="Times New Roman" w:hAnsi="Times New Roman"/>
        </w:rPr>
        <w:t>(B) adding, in their alphabetic order, the following:</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w:t>
      </w:r>
      <w:ins w:id="69" w:author="rbruce2" w:date="2001-03-23T12:27:00Z">
        <w:r>
          <w:rPr>
            <w:rFonts w:ascii="Times New Roman" w:hAnsi="Times New Roman"/>
            <w:sz w:val="22"/>
          </w:rPr>
          <w:t xml:space="preserve">a party (or its Credit Support Provider, as the case may be) or </w:t>
        </w:r>
      </w:ins>
      <w:del w:id="70" w:author="rbruce2" w:date="2001-03-23T12:28:00Z">
        <w:r>
          <w:rPr>
            <w:rFonts w:ascii="Times New Roman" w:hAnsi="Times New Roman"/>
            <w:sz w:val="22"/>
          </w:rPr>
          <w:delText>an</w:delText>
        </w:r>
      </w:del>
      <w:r>
        <w:rPr>
          <w:rFonts w:ascii="Times New Roman" w:hAnsi="Times New Roman"/>
          <w:sz w:val="22"/>
        </w:rPr>
        <w:t xml:space="preserve"> entity, on any date of determination, the respective ratings then assigned to such</w:t>
      </w:r>
      <w:ins w:id="71" w:author="rbruce2" w:date="2001-03-23T12:28:00Z">
        <w:r>
          <w:rPr>
            <w:rFonts w:ascii="Times New Roman" w:hAnsi="Times New Roman"/>
            <w:sz w:val="22"/>
          </w:rPr>
          <w:t xml:space="preserve"> party’s (or its Credit Support Provider’s as the case may be) or</w:t>
        </w:r>
      </w:ins>
      <w:r>
        <w:rPr>
          <w:rFonts w:ascii="Times New Roman" w:hAnsi="Times New Roman"/>
          <w:sz w:val="22"/>
        </w:rPr>
        <w:t xml:space="preserve"> entity’s unsecured, senior long-term debt or deposit obligations (not supported by third party credit enhancement) by S&amp;P, Moody’s or the other specified rating agency or agencies.</w:t>
      </w:r>
      <w:ins w:id="72" w:author="rbruce2" w:date="2001-03-23T12:28:00Z">
        <w:r>
          <w:rPr>
            <w:rFonts w:ascii="Times New Roman" w:hAnsi="Times New Roman"/>
            <w:sz w:val="22"/>
          </w:rPr>
          <w:t xml:space="preserve"> [If such ratings are not available, then Credit Rating shall mean the S&amp;P Issuer Credit Rating].</w:t>
        </w:r>
      </w:ins>
      <w:ins w:id="73" w:author="rbruce2" w:date="2001-03-23T12:28:00Z">
        <w:r>
          <w:rPr>
            <w:rStyle w:val="FootnoteReference"/>
            <w:rFonts w:ascii="Times New Roman" w:hAnsi="Times New Roman"/>
            <w:lang w:val="en-US" w:eastAsia="en-US"/>
          </w:rPr>
          <w:footnoteReference w:id="10"/>
        </w:r>
      </w:ins>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spacing w:before="0" w:after="240"/>
        <w:ind w:hanging="0" w:start="720" w:end="0"/>
        <w:jc w:val="both"/>
        <w:rPr>
          <w:rFonts w:ascii="Times New Roman" w:hAnsi="Times New Roman"/>
          <w:sz w:val="22"/>
        </w:rPr>
      </w:pPr>
      <w:ins w:id="74" w:author="rbruce2" w:date="2001-03-23T12:31:00Z">
        <w:r>
          <w:rPr>
            <w:rFonts w:ascii="Times New Roman" w:hAnsi="Times New Roman"/>
            <w:b/>
            <w:sz w:val="22"/>
          </w:rPr>
          <w:t>[</w:t>
        </w:r>
      </w:ins>
      <w:r>
        <w:rPr>
          <w:rFonts w:ascii="Times New Roman" w:hAnsi="Times New Roman"/>
          <w:b/>
          <w:sz w:val="22"/>
        </w:rPr>
        <w:t>“EURIBOR”</w:t>
      </w:r>
      <w:r>
        <w:rPr>
          <w:rFonts w:ascii="Times New Roman" w:hAnsi="Times New Roman"/>
          <w:sz w:val="22"/>
        </w:rPr>
        <w:t xml:space="preserve"> means, for the relevant determination date, the Euro overnight composite (London) deposit mid-market daily rate at 6:00 p.m. London time under the heading “EUDRIT”, or any successor heading, as published by Bloomberg, or any successor publication.  The interest calculated at the rate referred to above shall be compounded on a daily basis</w:t>
      </w:r>
      <w:ins w:id="75" w:author="rbruce2" w:date="2001-03-23T12:31:00Z">
        <w:r>
          <w:rPr>
            <w:rFonts w:ascii="Times New Roman" w:hAnsi="Times New Roman"/>
            <w:sz w:val="22"/>
          </w:rPr>
          <w:t>.</w:t>
        </w:r>
      </w:ins>
      <w:del w:id="76" w:author="rbruce2" w:date="2001-03-23T12:31:00Z">
        <w:r>
          <w:rPr>
            <w:rFonts w:ascii="Times New Roman" w:hAnsi="Times New Roman"/>
            <w:sz w:val="22"/>
          </w:rPr>
          <w:delText>;</w:delText>
        </w:r>
      </w:del>
      <w:ins w:id="77" w:author="rbruce2" w:date="2001-03-23T12:31:00Z">
        <w:r>
          <w:rPr>
            <w:rFonts w:ascii="Times New Roman" w:hAnsi="Times New Roman"/>
            <w:sz w:val="22"/>
          </w:rPr>
          <w:t>]</w:t>
        </w:r>
      </w:ins>
      <w:ins w:id="78" w:author="rbruce2" w:date="2001-03-23T12:31:00Z">
        <w:r>
          <w:rPr>
            <w:rStyle w:val="FootnoteReference"/>
            <w:rFonts w:ascii="Times New Roman" w:hAnsi="Times New Roman"/>
            <w:lang w:val="en-US" w:eastAsia="en-US"/>
          </w:rPr>
          <w:footnoteReference w:id="11"/>
        </w:r>
      </w:ins>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Federal Funds Overnight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Issuer”</w:t>
      </w:r>
      <w:r>
        <w:rPr>
          <w:rFonts w:ascii="Times New Roman" w:hAnsi="Times New Roman"/>
          <w:sz w:val="22"/>
        </w:rPr>
        <w:t xml:space="preserve"> means a major United Kingdom commercial bank or foreign bank with a branch office in the United Kingdom and with a Credit Rating of at least “A</w:t>
      </w:r>
      <w:ins w:id="79" w:author="rbruce2" w:date="2001-03-23T12:46:00Z">
        <w:r>
          <w:rPr>
            <w:rFonts w:ascii="Times New Roman" w:hAnsi="Times New Roman"/>
            <w:sz w:val="22"/>
          </w:rPr>
          <w:t>-</w:t>
        </w:r>
      </w:ins>
      <w:r>
        <w:rPr>
          <w:rFonts w:ascii="Times New Roman" w:hAnsi="Times New Roman"/>
          <w:sz w:val="22"/>
        </w:rPr>
        <w:t>” by S&amp;P or “</w:t>
      </w:r>
      <w:del w:id="80" w:author="rbruce2" w:date="2001-03-23T12:46:00Z">
        <w:r>
          <w:rPr>
            <w:rFonts w:ascii="Times New Roman" w:hAnsi="Times New Roman"/>
            <w:sz w:val="22"/>
          </w:rPr>
          <w:delText>A2</w:delText>
        </w:r>
      </w:del>
      <w:ins w:id="81" w:author="rbruce2" w:date="2001-03-23T12:46:00Z">
        <w:r>
          <w:rPr>
            <w:rFonts w:ascii="Times New Roman" w:hAnsi="Times New Roman"/>
            <w:sz w:val="22"/>
          </w:rPr>
          <w:t>A3</w:t>
        </w:r>
      </w:ins>
      <w:r>
        <w:rPr>
          <w:rFonts w:ascii="Times New Roman" w:hAnsi="Times New Roman"/>
          <w:sz w:val="22"/>
        </w:rPr>
        <w:t xml:space="preserve">” by Moody’s which issues a Letter of Credit. </w:t>
      </w:r>
    </w:p>
    <w:p>
      <w:pPr>
        <w:pStyle w:val="Normal"/>
        <w:widowControl/>
        <w:bidi w:val="0"/>
        <w:ind w:hanging="0" w:start="720" w:end="0"/>
        <w:jc w:val="both"/>
        <w:rPr>
          <w:rFonts w:ascii="Times New Roman" w:hAnsi="Times New Roman"/>
          <w:b/>
          <w:sz w:val="22"/>
        </w:rPr>
      </w:pPr>
      <w:r>
        <w:rPr>
          <w:rFonts w:ascii="Times New Roman" w:hAnsi="Times New Roman"/>
          <w:b/>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Letter of Credit”</w:t>
      </w:r>
      <w:r>
        <w:rPr>
          <w:rFonts w:ascii="Times New Roman" w:hAnsi="Times New Roman"/>
          <w:sz w:val="22"/>
        </w:rPr>
        <w:t xml:space="preserve"> means an irrevocable, standby letter of credit or bank guarantee, issued by an Issuer utilizing, as appropriate, the form set forth in Schedule 1, with such changes to the terms in that form as that Issuer may require and as may be acceptable to the Transferee.</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Material Adverse Change”</w:t>
      </w:r>
      <w:r>
        <w:rPr>
          <w:rFonts w:ascii="Times New Roman" w:hAnsi="Times New Roman"/>
          <w:sz w:val="22"/>
        </w:rPr>
        <w:t xml:space="preserve"> means ________________________________________.</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spacing w:before="0" w:after="240"/>
        <w:ind w:hanging="0" w:start="720" w:end="0"/>
        <w:jc w:val="both"/>
        <w:rPr>
          <w:rFonts w:ascii="Times New Roman" w:hAnsi="Times New Roman"/>
          <w:sz w:val="22"/>
        </w:rPr>
      </w:pPr>
      <w:r>
        <w:rPr>
          <w:rFonts w:ascii="Times New Roman" w:hAnsi="Times New Roman"/>
          <w:sz w:val="22"/>
        </w:rPr>
        <w:t>[</w:t>
      </w:r>
      <w:r>
        <w:rPr>
          <w:rFonts w:ascii="Times New Roman" w:hAnsi="Times New Roman"/>
          <w:b/>
          <w:sz w:val="22"/>
        </w:rPr>
        <w:t>“One Week LIBOR</w:t>
      </w:r>
      <w:r>
        <w:rPr>
          <w:rFonts w:ascii="Times New Roman" w:hAnsi="Times New Roman"/>
          <w:sz w:val="22"/>
        </w:rPr>
        <w:t>”</w:t>
      </w:r>
      <w:r>
        <w:rPr>
          <w:rFonts w:ascii="Times New Roman" w:hAnsi="Times New Roman"/>
          <w:b/>
          <w:sz w:val="22"/>
        </w:rPr>
        <w:t xml:space="preserve"> </w:t>
      </w:r>
      <w:r>
        <w:rPr>
          <w:rFonts w:ascii="Times New Roman" w:hAnsi="Times New Roman"/>
          <w:sz w:val="22"/>
        </w:rPr>
        <w:t>means, for the relevant determination date a rate equal to the London Interbank Offered Rate (“LIBOR”) at the rate for one week LIBOR quoted on the Telerate Screen Pages 3750 or 3740, as appropriate, (or any successor page(s) thereto) at or about 11 a.m. (London-time).  If such rate does not appear on the Telerate Screen Page 3750 or 3740, as appropriate, (or on any successor page thereto) on the relevant day or days, the rate will be determined as if the parties had specified the rate as being the arithmetic mean of the rates at which deposits in Sterling are offered by four major banks in the London Interbank market for a period of one week.  The interest calculated at the rate or rates referred to above shall be compounded on a daily basis.]</w:t>
      </w:r>
      <w:r>
        <w:rPr>
          <w:rStyle w:val="FootnoteReference"/>
          <w:rFonts w:ascii="Times New Roman" w:hAnsi="Times New Roman"/>
          <w:lang w:val="en-US" w:eastAsia="en-US"/>
        </w:rPr>
        <w:footnoteReference w:id="12"/>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Other Eligible Credit Support”</w:t>
      </w:r>
      <w:r>
        <w:rPr>
          <w:rFonts w:ascii="Times New Roman" w:hAnsi="Times New Roman"/>
          <w:sz w:val="22"/>
        </w:rPr>
        <w:t xml:space="preserve"> means, with respect to a party, the items, if any, specified as such for that party in Paragraph 11(b)(ii)(B).</w:t>
      </w:r>
    </w:p>
    <w:p>
      <w:pPr>
        <w:pStyle w:val="Normal"/>
        <w:widowControl/>
        <w:bidi w:val="0"/>
        <w:ind w:hanging="0" w:start="720" w:end="0"/>
        <w:jc w:val="both"/>
        <w:rPr>
          <w:rFonts w:ascii="Times New Roman" w:hAnsi="Times New Roman"/>
          <w:b/>
          <w:sz w:val="22"/>
        </w:rPr>
      </w:pPr>
      <w:r>
        <w:rPr>
          <w:rFonts w:ascii="Times New Roman" w:hAnsi="Times New Roman"/>
          <w:b/>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Other Equivalent Credit Support”</w:t>
      </w:r>
      <w:r>
        <w:rPr>
          <w:rFonts w:ascii="Times New Roman" w:hAnsi="Times New Roman"/>
          <w:sz w:val="22"/>
        </w:rPr>
        <w:t xml:space="preserve"> means, in relation to any Other Eligible Credit Support comprised in the Credit Support Balance, Other Eligible Credit Support of the same type, nominal value, description and amount as that Other Eligible Credit Support.</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widowControl/>
        <w:bidi w:val="0"/>
        <w:ind w:hanging="709" w:start="709"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[(iii)  Paragraph 2(b) is hereby amended by adding the following after the phrase “(rounded pursuant to Paragraph 11(b)(iii)(D))” in the fifth line thereof:</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1134" w:end="0"/>
        <w:jc w:val="both"/>
        <w:rPr>
          <w:rFonts w:ascii="Times New Roman" w:hAnsi="Times New Roman"/>
          <w:sz w:val="22"/>
        </w:rPr>
      </w:pPr>
      <w:r>
        <w:rPr>
          <w:rFonts w:ascii="Times New Roman" w:hAnsi="Times New Roman"/>
          <w:sz w:val="22"/>
        </w:rPr>
        <w:t>“</w:t>
      </w:r>
      <w:r>
        <w:rPr>
          <w:rFonts w:ascii="Times New Roman" w:hAnsi="Times New Roman"/>
          <w:sz w:val="22"/>
        </w:rPr>
        <w:t xml:space="preserve">;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the Transferee will, upon the Transferor’s request, transfer to the Transferor all Equivalent Credit Support</w:t>
      </w:r>
      <w:ins w:id="82" w:author="rbruce2" w:date="2001-03-23T12:40:00Z">
        <w:r>
          <w:rPr>
            <w:rFonts w:ascii="Times New Roman" w:hAnsi="Times New Roman"/>
            <w:sz w:val="22"/>
          </w:rPr>
          <w:t xml:space="preserve"> comprised in the Transferor’s Credit Support Balance</w:t>
        </w:r>
      </w:ins>
      <w:r>
        <w:rPr>
          <w:rFonts w:ascii="Times New Roman" w:hAnsi="Times New Roman"/>
          <w:sz w:val="22"/>
        </w:rPr>
        <w:t xml:space="preserve"> if the amount of such Equivalent Credit Support is material and if the Transferor’s Credit Support Amount is zero</w:t>
      </w:r>
      <w:del w:id="83" w:author="rbruce2" w:date="2001-03-23T12:44:00Z">
        <w:r>
          <w:rPr>
            <w:rFonts w:ascii="Times New Roman" w:hAnsi="Times New Roman"/>
            <w:sz w:val="22"/>
          </w:rPr>
          <w:delText>.</w:delText>
        </w:r>
      </w:del>
      <w:ins w:id="84" w:author="rbruce2" w:date="2001-03-23T12:44:00Z">
        <w:r>
          <w:rPr>
            <w:rFonts w:ascii="Times New Roman" w:hAnsi="Times New Roman"/>
            <w:sz w:val="22"/>
          </w:rPr>
          <w:t>,</w:t>
        </w:r>
      </w:ins>
      <w:r>
        <w:rPr>
          <w:rFonts w:ascii="Times New Roman" w:hAnsi="Times New Roman"/>
          <w:sz w:val="22"/>
        </w:rPr>
        <w:t>”]</w:t>
      </w:r>
      <w:r>
        <w:rPr>
          <w:rStyle w:val="FootnoteReference"/>
          <w:rFonts w:ascii="Times New Roman" w:hAnsi="Times New Roman"/>
          <w:lang w:val="en-US" w:eastAsia="en-US"/>
        </w:rPr>
        <w:footnoteReference w:id="13"/>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rPr>
      </w:pPr>
      <w:r>
        <w:rPr>
          <w:rFonts w:ascii="Times New Roman" w:hAnsi="Times New Roman"/>
          <w:sz w:val="22"/>
        </w:rPr>
        <w:t>(i)</w:t>
        <w:tab/>
      </w:r>
      <w:r>
        <w:rPr>
          <w:rFonts w:ascii="Times New Roman" w:hAnsi="Times New Roman"/>
          <w:b/>
          <w:sz w:val="22"/>
        </w:rPr>
        <w:t>Other Eligible Credit Support and Other Equivalent Credit Support</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BodyText2"/>
        <w:tabs>
          <w:tab w:val="clear" w:pos="1440"/>
        </w:tabs>
        <w:bidi w:val="0"/>
        <w:spacing w:before="0" w:after="0"/>
        <w:rPr>
          <w:rFonts w:ascii="Times New Roman" w:hAnsi="Times New Roman"/>
        </w:rPr>
      </w:pPr>
      <w:r>
        <w:rPr>
          <w:rFonts w:ascii="Times New Roman" w:hAnsi="Times New Roman"/>
        </w:rPr>
        <w:t>(i) Any reference in the Annex to “Eligible Credit Support” or “Equivalent Credit Support” shall be deemed to include a reference to “Other Eligible Credit Support” or “Other Equivalent Credit Support” as appropriate when used in Paragraphs 2,3 and 4, and the definitions of “Credit Support Balance”, “Valuation Percentage” and Subparagraph (ii) of “Value” in Paragraph 10.</w:t>
      </w:r>
    </w:p>
    <w:p>
      <w:pPr>
        <w:pStyle w:val="BodyText2"/>
        <w:tabs>
          <w:tab w:val="clear" w:pos="1440"/>
        </w:tabs>
        <w:bidi w:val="0"/>
        <w:spacing w:before="0" w:after="0"/>
        <w:rPr>
          <w:rFonts w:ascii="Times New Roman" w:hAnsi="Times New Roman"/>
        </w:rPr>
      </w:pPr>
      <w:r>
        <w:rPr>
          <w:rFonts w:ascii="Times New Roman" w:hAnsi="Times New Roman"/>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Other Eligible Credit Support and Other Equivalent Credit Support.</w:t>
      </w:r>
      <w:r>
        <w:rPr>
          <w:rFonts w:ascii="Times New Roman" w:hAnsi="Times New Roman"/>
          <w:sz w:val="22"/>
        </w:rPr>
        <w:t xml:space="preserve"> All transfers under this Annex of Other Eligible Credit Support and Other Equivalent Credit Support shall be made as follows: the Transferor shall give written instructions (including, for the avoidance of doubt, instructions given by telex, facsimile transmission or electronic messaging system) to the issuer of a Letter of Credit (the “Issuer”) to issue a Letter of Credit to the Transferee. Such transfer shall be deemed effective on receipt by the Transferee from the Issuer of the issued Letter of Credit. A Letter of Credit will be deemed transferred back to the Transferor on surrender by the Transferee of the Letter of Credit to the Transferor.</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(iii) </w:t>
      </w:r>
      <w:r>
        <w:rPr>
          <w:rFonts w:ascii="Times New Roman" w:hAnsi="Times New Roman"/>
          <w:b/>
          <w:sz w:val="22"/>
        </w:rPr>
        <w:t>Default for the purposes of Other Eligible Credit Support and Other Equivalent Credit Support.</w:t>
      </w:r>
      <w:r>
        <w:rPr>
          <w:rFonts w:ascii="Times New Roman" w:hAnsi="Times New Roman"/>
          <w:sz w:val="22"/>
        </w:rPr>
        <w:t xml:space="preserve"> The occurrence at any time with respect to a Letter of Credit of any of the following events shall constitute a Letter of Credit Default (“Letter of Credit Default”) with respect to such Letter of Credit:</w:t>
      </w:r>
    </w:p>
    <w:p>
      <w:pPr>
        <w:pStyle w:val="Normal"/>
        <w:widowControl/>
        <w:numPr>
          <w:ilvl w:val="0"/>
          <w:numId w:val="3"/>
        </w:numPr>
        <w:tabs>
          <w:tab w:val="clear" w:pos="720"/>
          <w:tab w:val="left" w:pos="1509" w:leader="none"/>
        </w:tabs>
        <w:bidi w:val="0"/>
        <w:spacing w:before="120" w:after="0"/>
        <w:ind w:hanging="374" w:start="1508" w:end="0"/>
        <w:jc w:val="both"/>
        <w:rPr>
          <w:rFonts w:ascii="Times New Roman" w:hAnsi="Times New Roman"/>
          <w:sz w:val="22"/>
        </w:rPr>
      </w:pPr>
      <w:r>
        <w:rPr>
          <w:rFonts w:ascii="Times New Roman" w:hAnsi="Times New Roman"/>
          <w:sz w:val="22"/>
        </w:rPr>
        <w:t>the Issuer fails to maintain a Credit Rating of at least “A</w:t>
      </w:r>
      <w:ins w:id="85" w:author="rbruce2" w:date="2001-03-23T12:58:00Z">
        <w:r>
          <w:rPr>
            <w:rFonts w:ascii="Times New Roman" w:hAnsi="Times New Roman"/>
            <w:sz w:val="22"/>
          </w:rPr>
          <w:t>-</w:t>
        </w:r>
      </w:ins>
      <w:r>
        <w:rPr>
          <w:rFonts w:ascii="Times New Roman" w:hAnsi="Times New Roman"/>
          <w:sz w:val="22"/>
        </w:rPr>
        <w:t>” by S&amp;P or “</w:t>
      </w:r>
      <w:del w:id="86" w:author="rbruce2" w:date="2001-03-23T12:58:00Z">
        <w:r>
          <w:rPr>
            <w:rFonts w:ascii="Times New Roman" w:hAnsi="Times New Roman"/>
            <w:sz w:val="22"/>
          </w:rPr>
          <w:delText>A2</w:delText>
        </w:r>
      </w:del>
      <w:ins w:id="87" w:author="rbruce2" w:date="2001-03-23T12:58:00Z">
        <w:r>
          <w:rPr>
            <w:rFonts w:ascii="Times New Roman" w:hAnsi="Times New Roman"/>
            <w:sz w:val="22"/>
          </w:rPr>
          <w:t>A3</w:t>
        </w:r>
      </w:ins>
      <w:r>
        <w:rPr>
          <w:rFonts w:ascii="Times New Roman" w:hAnsi="Times New Roman"/>
          <w:sz w:val="22"/>
        </w:rPr>
        <w:t>” by Moody’s;</w:t>
      </w:r>
    </w:p>
    <w:p>
      <w:pPr>
        <w:pStyle w:val="Normal"/>
        <w:widowControl/>
        <w:numPr>
          <w:ilvl w:val="0"/>
          <w:numId w:val="3"/>
        </w:numPr>
        <w:tabs>
          <w:tab w:val="clear" w:pos="720"/>
          <w:tab w:val="left" w:pos="1509" w:leader="none"/>
        </w:tabs>
        <w:bidi w:val="0"/>
        <w:spacing w:before="120" w:after="0"/>
        <w:ind w:hanging="374" w:start="1508" w:end="0"/>
        <w:jc w:val="both"/>
        <w:rPr>
          <w:rFonts w:ascii="Times New Roman" w:hAnsi="Times New Roman"/>
          <w:sz w:val="22"/>
        </w:rPr>
      </w:pPr>
      <w:r>
        <w:rPr>
          <w:rFonts w:ascii="Times New Roman" w:hAnsi="Times New Roman"/>
          <w:sz w:val="22"/>
        </w:rPr>
        <w:t>the Issuer fails to comply with or perform its obligations under such Letter of Credit and such failure continues after the lapse of any applicable grace period;</w:t>
      </w:r>
    </w:p>
    <w:p>
      <w:pPr>
        <w:pStyle w:val="Normal"/>
        <w:widowControl/>
        <w:numPr>
          <w:ilvl w:val="0"/>
          <w:numId w:val="3"/>
        </w:numPr>
        <w:tabs>
          <w:tab w:val="clear" w:pos="720"/>
          <w:tab w:val="left" w:pos="1509" w:leader="none"/>
        </w:tabs>
        <w:bidi w:val="0"/>
        <w:spacing w:before="120" w:after="0"/>
        <w:ind w:hanging="374" w:start="1508" w:end="0"/>
        <w:jc w:val="both"/>
        <w:rPr>
          <w:rFonts w:ascii="Times New Roman" w:hAnsi="Times New Roman"/>
          <w:sz w:val="22"/>
        </w:rPr>
      </w:pPr>
      <w:r>
        <w:rPr>
          <w:rFonts w:ascii="Times New Roman" w:hAnsi="Times New Roman"/>
          <w:sz w:val="22"/>
        </w:rPr>
        <w:t>the Issuer disaffirms, disclaims, repudiates or rejects, in whole or in part, or challenges the validity of such Letter of Credit;</w:t>
      </w:r>
    </w:p>
    <w:p>
      <w:pPr>
        <w:pStyle w:val="Normal"/>
        <w:widowControl/>
        <w:numPr>
          <w:ilvl w:val="0"/>
          <w:numId w:val="3"/>
        </w:numPr>
        <w:tabs>
          <w:tab w:val="clear" w:pos="720"/>
          <w:tab w:val="left" w:pos="1509" w:leader="none"/>
        </w:tabs>
        <w:bidi w:val="0"/>
        <w:spacing w:before="120" w:after="0"/>
        <w:ind w:hanging="374" w:start="1508" w:end="0"/>
        <w:jc w:val="both"/>
        <w:rPr>
          <w:rFonts w:ascii="Times New Roman" w:hAnsi="Times New Roman"/>
          <w:sz w:val="22"/>
        </w:rPr>
      </w:pPr>
      <w:r>
        <w:rPr>
          <w:rFonts w:ascii="Times New Roman" w:hAnsi="Times New Roman"/>
          <w:sz w:val="22"/>
        </w:rPr>
        <w:t>any event analogous to an event specified in Section 5(a)(vii) of the Agreement occurs with respect to the Issuer;</w:t>
      </w:r>
    </w:p>
    <w:p>
      <w:pPr>
        <w:pStyle w:val="Normal"/>
        <w:widowControl/>
        <w:numPr>
          <w:ilvl w:val="0"/>
          <w:numId w:val="3"/>
        </w:numPr>
        <w:tabs>
          <w:tab w:val="clear" w:pos="720"/>
          <w:tab w:val="left" w:pos="1509" w:leader="none"/>
        </w:tabs>
        <w:bidi w:val="0"/>
        <w:spacing w:before="120" w:after="0"/>
        <w:ind w:hanging="374" w:start="1508" w:end="0"/>
        <w:jc w:val="both"/>
        <w:rPr>
          <w:rFonts w:ascii="Times New Roman" w:hAnsi="Times New Roman"/>
          <w:sz w:val="22"/>
        </w:rPr>
      </w:pPr>
      <w:r>
        <w:rPr>
          <w:rFonts w:ascii="Times New Roman" w:hAnsi="Times New Roman"/>
          <w:sz w:val="22"/>
        </w:rPr>
        <w:t>the Letter of Credit fails or ceases to be in full force and effect; or</w:t>
      </w:r>
    </w:p>
    <w:p>
      <w:pPr>
        <w:pStyle w:val="Normal"/>
        <w:widowControl/>
        <w:numPr>
          <w:ilvl w:val="0"/>
          <w:numId w:val="3"/>
        </w:numPr>
        <w:tabs>
          <w:tab w:val="clear" w:pos="720"/>
          <w:tab w:val="left" w:pos="1509" w:leader="none"/>
        </w:tabs>
        <w:bidi w:val="0"/>
        <w:spacing w:before="120" w:after="0"/>
        <w:ind w:hanging="374" w:start="1508" w:end="0"/>
        <w:jc w:val="both"/>
        <w:rPr>
          <w:rFonts w:ascii="Times New Roman" w:hAnsi="Times New Roman"/>
          <w:sz w:val="22"/>
        </w:rPr>
      </w:pPr>
      <w:r>
        <w:rPr>
          <w:rFonts w:ascii="Times New Roman" w:hAnsi="Times New Roman"/>
          <w:sz w:val="22"/>
        </w:rPr>
        <w:t>the Letter of Credit expires or terminates in accordance with the terms within the next twenty (20) Local Business Days.</w:t>
      </w:r>
    </w:p>
    <w:p>
      <w:pPr>
        <w:pStyle w:val="Normal"/>
        <w:widowControl/>
        <w:bidi w:val="0"/>
        <w:ind w:hanging="0" w:start="709" w:end="0"/>
        <w:jc w:val="both"/>
        <w:rPr>
          <w:rFonts w:ascii="Times New Roman" w:hAnsi="Times New Roman"/>
          <w:sz w:val="22"/>
        </w:rPr>
      </w:pPr>
      <w:r>
        <w:rPr>
          <w:rFonts w:ascii="Times New Roman" w:hAnsi="Times New Roman"/>
          <w:sz w:val="22"/>
        </w:rPr>
      </w:r>
    </w:p>
    <w:p>
      <w:pPr>
        <w:pStyle w:val="Normal"/>
        <w:widowControl/>
        <w:bidi w:val="0"/>
        <w:ind w:hanging="0" w:start="709" w:end="0"/>
        <w:jc w:val="both"/>
        <w:rPr>
          <w:rFonts w:ascii="Times New Roman" w:hAnsi="Times New Roman"/>
          <w:sz w:val="22"/>
        </w:rPr>
      </w:pPr>
      <w:r>
        <w:rPr>
          <w:rFonts w:ascii="Times New Roman" w:hAnsi="Times New Roman"/>
          <w:sz w:val="22"/>
        </w:rPr>
        <w:t xml:space="preserve">(iv) </w:t>
      </w:r>
      <w:r>
        <w:rPr>
          <w:rFonts w:ascii="Times New Roman" w:hAnsi="Times New Roman"/>
          <w:b/>
          <w:sz w:val="22"/>
        </w:rPr>
        <w:t>Default.</w:t>
      </w:r>
      <w:r>
        <w:rPr>
          <w:rFonts w:ascii="Times New Roman" w:hAnsi="Times New Roman"/>
          <w:sz w:val="22"/>
        </w:rPr>
        <w:t xml:space="preserve"> For the purposes of Paragraph 6 of the Annex, the Value of Other Eligible Credit Support and/or Other Equivalent Credit Support shall be excluded from the calculation of the Value of the Credit Support Balance. To the extent the Transferee draws under any Letter of Credit the Transferor’s obligations to the Transferee shall be discharged in an amount equal to such drawings.</w:t>
      </w:r>
    </w:p>
    <w:p>
      <w:pPr>
        <w:pStyle w:val="Normal"/>
        <w:widowControl/>
        <w:bidi w:val="0"/>
        <w:ind w:hanging="0" w:start="709" w:end="0"/>
        <w:jc w:val="both"/>
        <w:rPr>
          <w:rFonts w:ascii="Times New Roman" w:hAnsi="Times New Roman"/>
          <w:sz w:val="22"/>
        </w:rPr>
      </w:pPr>
      <w:r>
        <w:rPr>
          <w:rFonts w:ascii="Times New Roman" w:hAnsi="Times New Roman"/>
          <w:sz w:val="22"/>
        </w:rPr>
      </w:r>
    </w:p>
    <w:p>
      <w:pPr>
        <w:pStyle w:val="BodyTextIndent2"/>
        <w:bidi w:val="0"/>
        <w:rPr>
          <w:rFonts w:ascii="Times New Roman" w:hAnsi="Times New Roman"/>
        </w:rPr>
      </w:pPr>
      <w:r>
        <w:rPr>
          <w:rFonts w:ascii="Times New Roman" w:hAnsi="Times New Roman"/>
        </w:rPr>
        <w:t xml:space="preserve">(v) </w:t>
      </w:r>
      <w:del w:id="88" w:author="rbruce2" w:date="2001-03-23T12:21:00Z">
        <w:r>
          <w:rPr>
            <w:rFonts w:ascii="Times New Roman" w:hAnsi="Times New Roman"/>
            <w:b/>
          </w:rPr>
          <w:delText>Definitions</w:delText>
        </w:r>
      </w:del>
      <w:ins w:id="89" w:author="rbruce2" w:date="2001-03-23T12:21:00Z">
        <w:r>
          <w:rPr>
            <w:rFonts w:ascii="Times New Roman" w:hAnsi="Times New Roman"/>
            <w:b/>
          </w:rPr>
          <w:t>Value</w:t>
        </w:r>
      </w:ins>
      <w:r>
        <w:rPr>
          <w:rFonts w:ascii="Times New Roman" w:hAnsi="Times New Roman"/>
          <w:b/>
        </w:rPr>
        <w:t xml:space="preserve">. </w:t>
      </w:r>
      <w:r>
        <w:rPr>
          <w:rFonts w:ascii="Times New Roman" w:hAnsi="Times New Roman"/>
        </w:rPr>
        <w:t>The definition of “Value” in Paragraph 10 is amended by inserting at the end thereof the following Subparagraph (iii):</w:t>
      </w:r>
    </w:p>
    <w:p>
      <w:pPr>
        <w:pStyle w:val="BodyTextIndent2"/>
        <w:bidi w:val="0"/>
        <w:rPr>
          <w:rFonts w:ascii="Times New Roman" w:hAnsi="Times New Roman"/>
        </w:rPr>
      </w:pPr>
      <w:r>
        <w:rPr>
          <w:rFonts w:ascii="Times New Roman" w:hAnsi="Times New Roman"/>
        </w:rPr>
      </w:r>
    </w:p>
    <w:p>
      <w:pPr>
        <w:pStyle w:val="BodyTextIndent2"/>
        <w:bidi w:val="0"/>
        <w:ind w:hanging="11" w:start="1134" w:end="0"/>
        <w:rPr>
          <w:rFonts w:ascii="Times New Roman" w:hAnsi="Times New Roman"/>
        </w:rPr>
      </w:pPr>
      <w:r>
        <w:rPr>
          <w:rFonts w:ascii="Times New Roman" w:hAnsi="Times New Roman"/>
        </w:rPr>
        <w:t>“</w:t>
      </w:r>
      <w:r>
        <w:rPr>
          <w:rFonts w:ascii="Times New Roman" w:hAnsi="Times New Roman"/>
        </w:rPr>
        <w:t>(iii)</w:t>
        <w:tab/>
        <w:t>items that are comprised in the Credit Support Balance that are Other Eligible Credit Support, the stated amount thereunder then available to be unconditionally drawn by the Transferee, multiplied by the applicable Valuation Percentage.”</w:t>
      </w:r>
    </w:p>
    <w:p>
      <w:pPr>
        <w:pStyle w:val="BodyTextIndent2"/>
        <w:bidi w:val="0"/>
        <w:ind w:hanging="0" w:start="720" w:end="0"/>
        <w:rPr>
          <w:rFonts w:ascii="Times New Roman" w:hAnsi="Times New Roman"/>
        </w:rPr>
      </w:pPr>
      <w:r>
        <w:rPr>
          <w:rFonts w:ascii="Times New Roman" w:hAnsi="Times New Roman"/>
        </w:rPr>
      </w:r>
    </w:p>
    <w:p>
      <w:pPr>
        <w:pStyle w:val="BodyTextIndent2"/>
        <w:bidi w:val="0"/>
        <w:ind w:hanging="0" w:start="720" w:end="0"/>
        <w:rPr>
          <w:rFonts w:ascii="Times New Roman" w:hAnsi="Times New Roman"/>
        </w:rPr>
      </w:pPr>
      <w:r>
        <w:rPr>
          <w:rFonts w:ascii="Times New Roman" w:hAnsi="Times New Roman"/>
        </w:rPr>
        <w:t xml:space="preserve">(vi) Letters of Credit shall be issued and maintained in accordance with the provisions set forth in </w:t>
      </w:r>
      <w:r>
        <w:rPr>
          <w:rFonts w:ascii="Times New Roman" w:hAnsi="Times New Roman"/>
          <w:u w:val="single"/>
        </w:rPr>
        <w:t>Exhibit A</w:t>
      </w:r>
      <w:r>
        <w:rPr>
          <w:rFonts w:ascii="Times New Roman" w:hAnsi="Times New Roman"/>
        </w:rPr>
        <w:t xml:space="preserve"> and </w:t>
      </w:r>
      <w:r>
        <w:rPr>
          <w:rFonts w:ascii="Times New Roman" w:hAnsi="Times New Roman"/>
          <w:u w:val="single"/>
        </w:rPr>
        <w:t>Schedule 1</w:t>
      </w:r>
      <w:r>
        <w:rPr>
          <w:rFonts w:ascii="Times New Roman" w:hAnsi="Times New Roman"/>
        </w:rPr>
        <w:t xml:space="preserve"> attached hereto.</w:t>
      </w:r>
    </w:p>
    <w:p>
      <w:pPr>
        <w:pStyle w:val="BodyTextIndent2"/>
        <w:bidi w:val="0"/>
        <w:ind w:hanging="0" w:start="720" w:end="0"/>
        <w:rPr>
          <w:rFonts w:ascii="Times New Roman" w:hAnsi="Times New Roman"/>
          <w:ins w:id="91" w:author="rbruce2" w:date="2001-03-23T12:10:00Z"/>
        </w:rPr>
      </w:pPr>
      <w:ins w:id="90" w:author="rbruce2" w:date="2001-03-23T12:10:00Z">
        <w:r>
          <w:rPr>
            <w:rFonts w:ascii="Times New Roman" w:hAnsi="Times New Roman"/>
          </w:rPr>
        </w:r>
      </w:ins>
    </w:p>
    <w:p>
      <w:pPr>
        <w:pStyle w:val="BodyTextIndent2"/>
        <w:bidi w:val="0"/>
        <w:ind w:hanging="0" w:start="720" w:end="0"/>
        <w:rPr>
          <w:rFonts w:ascii="Times New Roman" w:hAnsi="Times New Roman"/>
          <w:ins w:id="95" w:author="rbruce2" w:date="2001-03-23T12:14:00Z"/>
        </w:rPr>
      </w:pPr>
      <w:ins w:id="92" w:author="rbruce2" w:date="2001-03-23T12:10:00Z">
        <w:r>
          <w:rPr>
            <w:rFonts w:ascii="Times New Roman" w:hAnsi="Times New Roman"/>
          </w:rPr>
          <w:t>(vii) Each party represents and covenants to the other party (which representation and covenant will be deemed to be repeated as of each date on which it, as the Transferor, transfers</w:t>
        </w:r>
      </w:ins>
      <w:ins w:id="93" w:author="rbruce2" w:date="2001-03-23T12:12:00Z">
        <w:r>
          <w:rPr>
            <w:rFonts w:ascii="Times New Roman" w:hAnsi="Times New Roman"/>
          </w:rPr>
          <w:t xml:space="preserve"> Other Eligible Credit Support (or, in the case of after-acquired Other Eligible Credit Support, at the time the other party or its agent acquires rights therein), and which covenant will be deemed to apply at all times) that</w:t>
        </w:r>
      </w:ins>
      <w:ins w:id="94" w:author="rbruce2" w:date="2001-03-23T12:14:00Z">
        <w:r>
          <w:rPr>
            <w:rFonts w:ascii="Times New Roman" w:hAnsi="Times New Roman"/>
          </w:rPr>
          <w:t xml:space="preserve"> with respect to the issuance, renewal, substitution, or increase (as the case may be) of a Letter of Credit, such Letter of Credit is the legal, valid, and binding obligation of the Issuer thereof, enforceable in accordance with its terms.</w:t>
        </w:r>
      </w:ins>
    </w:p>
    <w:p>
      <w:pPr>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077" w:right="1077" w:gutter="0" w:header="426" w:top="1135" w:footer="490" w:bottom="1440"/>
          <w:pgNumType w:start="1" w:fmt="decimal"/>
          <w:formProt w:val="false"/>
          <w:textDirection w:val="lrTb"/>
          <w:docGrid w:type="default" w:linePitch="100" w:charSpace="0"/>
        </w:sectPr>
        <w:pStyle w:val="BodyTextIndent2"/>
        <w:bidi w:val="0"/>
        <w:ind w:hanging="0" w:start="0" w:end="0"/>
        <w:rPr>
          <w:rFonts w:ascii="Times New Roman" w:hAnsi="Times New Roman"/>
          <w:ins w:id="97" w:author="rbruce2" w:date="2001-03-23T12:14:00Z"/>
        </w:rPr>
      </w:pPr>
      <w:ins w:id="96" w:author="rbruce2" w:date="2001-03-23T12:14:00Z">
        <w:r>
          <w:rPr>
            <w:rFonts w:ascii="Times New Roman" w:hAnsi="Times New Roman"/>
          </w:rPr>
        </w:r>
      </w:ins>
    </w:p>
    <w:p>
      <w:pPr>
        <w:pStyle w:val="Normal"/>
        <w:widowControl/>
        <w:bidi w:val="0"/>
        <w:ind w:hanging="0" w:start="0" w:end="0"/>
        <w:jc w:val="center"/>
        <w:rPr>
          <w:rFonts w:ascii="Times New Roman" w:hAnsi="Times New Roman"/>
          <w:b/>
          <w:sz w:val="22"/>
        </w:rPr>
      </w:pPr>
      <w:r>
        <w:rPr>
          <w:rFonts w:ascii="Times New Roman" w:hAnsi="Times New Roman"/>
          <w:b/>
          <w:sz w:val="22"/>
          <w:u w:val="single"/>
        </w:rPr>
        <w:t>EXHIBIT A</w:t>
      </w:r>
    </w:p>
    <w:p>
      <w:pPr>
        <w:pStyle w:val="Normal"/>
        <w:widowControl/>
        <w:bidi w:val="0"/>
        <w:ind w:hanging="0" w:start="0" w:end="0"/>
        <w:jc w:val="center"/>
        <w:rPr>
          <w:rFonts w:ascii="Times New Roman" w:hAnsi="Times New Roman"/>
          <w:b/>
          <w:sz w:val="22"/>
        </w:rPr>
      </w:pPr>
      <w:r>
        <w:rPr>
          <w:rFonts w:ascii="Times New Roman" w:hAnsi="Times New Roman"/>
          <w:b/>
          <w:sz w:val="22"/>
        </w:rPr>
        <w:t>to Paragraph 11</w:t>
      </w:r>
    </w:p>
    <w:p>
      <w:pPr>
        <w:pStyle w:val="Normal"/>
        <w:widowControl/>
        <w:bidi w:val="0"/>
        <w:ind w:hanging="0" w:start="0" w:end="0"/>
        <w:jc w:val="center"/>
        <w:rPr>
          <w:rFonts w:ascii="Times New Roman" w:hAnsi="Times New Roman"/>
          <w:sz w:val="22"/>
        </w:rPr>
      </w:pPr>
      <w:r>
        <w:rPr>
          <w:rFonts w:ascii="Times New Roman" w:hAnsi="Times New Roman"/>
          <w:b/>
          <w:sz w:val="22"/>
        </w:rPr>
        <w:t>of Annex A</w:t>
      </w:r>
    </w:p>
    <w:p>
      <w:pPr>
        <w:pStyle w:val="Normal"/>
        <w:widowControl/>
        <w:bidi w:val="0"/>
        <w:ind w:hanging="0" w:start="0" w:end="0"/>
        <w:jc w:val="center"/>
        <w:rPr>
          <w:rFonts w:ascii="Times New Roman" w:hAnsi="Times New Roman"/>
          <w:sz w:val="22"/>
        </w:rPr>
      </w:pPr>
      <w:r>
        <w:rPr>
          <w:rFonts w:ascii="Times New Roman" w:hAnsi="Times New Roman"/>
          <w:sz w:val="22"/>
        </w:rPr>
      </w:r>
    </w:p>
    <w:p>
      <w:pPr>
        <w:pStyle w:val="Normal"/>
        <w:widowControl/>
        <w:bidi w:val="0"/>
        <w:ind w:hanging="0" w:start="0" w:end="0"/>
        <w:jc w:val="center"/>
        <w:rPr>
          <w:rFonts w:ascii="Times New Roman" w:hAnsi="Times New Roman"/>
          <w:sz w:val="22"/>
        </w:rPr>
      </w:pPr>
      <w:r>
        <w:rPr>
          <w:rFonts w:ascii="Times New Roman" w:hAnsi="Times New Roman"/>
          <w:b/>
          <w:sz w:val="22"/>
        </w:rPr>
        <w:t>LETTER OF CREDIT PROVISIONS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sz w:val="22"/>
        </w:rPr>
        <w:t>Other Eligible Credit Support or Other Equivalent Credit Support provided by one party (“X”) for the benefit of the other (“Y”) in the form of a Letter of Credit shall be subject to the following provisions.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4"/>
        </w:numPr>
        <w:tabs>
          <w:tab w:val="clear" w:pos="720"/>
          <w:tab w:val="left" w:pos="709" w:leader="none"/>
        </w:tabs>
        <w:bidi w:val="0"/>
        <w:ind w:hanging="0" w:start="284" w:end="0"/>
        <w:jc w:val="both"/>
        <w:rPr>
          <w:rFonts w:ascii="Times New Roman" w:hAnsi="Times New Roman"/>
          <w:sz w:val="22"/>
        </w:rPr>
      </w:pPr>
      <w:r>
        <w:rPr>
          <w:rFonts w:ascii="Times New Roman" w:hAnsi="Times New Roman"/>
          <w:sz w:val="22"/>
        </w:rPr>
        <w:t>Any Letter of Credit shall be delivered by</w:t>
      </w:r>
      <w:ins w:id="98" w:author="rbruce2" w:date="2001-03-23T12:52:00Z">
        <w:r>
          <w:rPr>
            <w:rFonts w:ascii="Times New Roman" w:hAnsi="Times New Roman"/>
            <w:sz w:val="22"/>
          </w:rPr>
          <w:t xml:space="preserve"> X or</w:t>
        </w:r>
      </w:ins>
      <w:r>
        <w:rPr>
          <w:rFonts w:ascii="Times New Roman" w:hAnsi="Times New Roman"/>
          <w:sz w:val="22"/>
        </w:rPr>
        <w:t xml:space="preserve"> the Issuer to such address as Y shall specify and shall be maintained for the benefit of Y or its designee.  X or the Issuer of the Letter of Credit shall:</w:t>
      </w:r>
    </w:p>
    <w:p>
      <w:pPr>
        <w:pStyle w:val="Normal"/>
        <w:widowControl/>
        <w:numPr>
          <w:ilvl w:val="1"/>
          <w:numId w:val="4"/>
        </w:numPr>
        <w:tabs>
          <w:tab w:val="clear" w:pos="720"/>
          <w:tab w:val="left" w:pos="1134" w:leader="none"/>
        </w:tabs>
        <w:bidi w:val="0"/>
        <w:ind w:hanging="0" w:start="709" w:end="0"/>
        <w:jc w:val="both"/>
        <w:rPr>
          <w:rFonts w:ascii="Times New Roman" w:hAnsi="Times New Roman"/>
          <w:sz w:val="22"/>
        </w:rPr>
      </w:pPr>
      <w:r>
        <w:rPr>
          <w:rFonts w:ascii="Times New Roman" w:hAnsi="Times New Roman"/>
          <w:sz w:val="22"/>
        </w:rPr>
        <w:t xml:space="preserve">renew or cause the renewal of each outstanding Letter of Credit on a timely basis as provided in the relevant Letter of Credit; </w:t>
      </w:r>
    </w:p>
    <w:p>
      <w:pPr>
        <w:pStyle w:val="Normal"/>
        <w:widowControl/>
        <w:numPr>
          <w:ilvl w:val="1"/>
          <w:numId w:val="4"/>
        </w:numPr>
        <w:tabs>
          <w:tab w:val="clear" w:pos="720"/>
          <w:tab w:val="left" w:pos="1134" w:leader="none"/>
        </w:tabs>
        <w:bidi w:val="0"/>
        <w:ind w:hanging="0" w:start="709" w:end="0"/>
        <w:jc w:val="both"/>
        <w:rPr>
          <w:rFonts w:ascii="Times New Roman" w:hAnsi="Times New Roman"/>
          <w:sz w:val="22"/>
        </w:rPr>
      </w:pPr>
      <w:r>
        <w:rPr>
          <w:rFonts w:ascii="Times New Roman" w:hAnsi="Times New Roman"/>
          <w:sz w:val="22"/>
        </w:rPr>
        <w:t>if the Issuer of an outstanding Letter of Credit has indicated its intent not to renew such Letter of Credit, provide</w:t>
      </w:r>
      <w:ins w:id="99" w:author="rbruce2" w:date="2001-03-23T12:52:00Z">
        <w:r>
          <w:rPr>
            <w:rFonts w:ascii="Times New Roman" w:hAnsi="Times New Roman"/>
            <w:sz w:val="22"/>
          </w:rPr>
          <w:t xml:space="preserve"> either</w:t>
        </w:r>
      </w:ins>
      <w:r>
        <w:rPr>
          <w:rFonts w:ascii="Times New Roman" w:hAnsi="Times New Roman"/>
          <w:sz w:val="22"/>
        </w:rPr>
        <w:t xml:space="preserve"> a substitute Letter of Credit </w:t>
      </w:r>
      <w:ins w:id="100" w:author="rbruce2" w:date="2001-03-23T12:52:00Z">
        <w:r>
          <w:rPr>
            <w:rFonts w:ascii="Times New Roman" w:hAnsi="Times New Roman"/>
            <w:sz w:val="22"/>
          </w:rPr>
          <w:t>or other Eligible Credit Support</w:t>
        </w:r>
      </w:ins>
      <w:ins w:id="101" w:author="rbruce2" w:date="2001-03-23T12:54:00Z">
        <w:r>
          <w:rPr>
            <w:rFonts w:ascii="Times New Roman" w:hAnsi="Times New Roman"/>
            <w:sz w:val="22"/>
          </w:rPr>
          <w:t>, in each case</w:t>
        </w:r>
      </w:ins>
      <w:ins w:id="102" w:author="rbruce2" w:date="2001-03-23T12:52:00Z">
        <w:r>
          <w:rPr>
            <w:rFonts w:ascii="Times New Roman" w:hAnsi="Times New Roman"/>
            <w:sz w:val="22"/>
          </w:rPr>
          <w:t xml:space="preserve"> </w:t>
        </w:r>
      </w:ins>
      <w:r>
        <w:rPr>
          <w:rFonts w:ascii="Times New Roman" w:hAnsi="Times New Roman"/>
          <w:sz w:val="22"/>
        </w:rPr>
        <w:t xml:space="preserve">at least twenty (20) Local Business Days prior to the expiration of the outstanding Letter of Credit; and </w:t>
      </w:r>
    </w:p>
    <w:p>
      <w:pPr>
        <w:pStyle w:val="Normal"/>
        <w:widowControl/>
        <w:numPr>
          <w:ilvl w:val="1"/>
          <w:numId w:val="4"/>
        </w:numPr>
        <w:tabs>
          <w:tab w:val="clear" w:pos="720"/>
          <w:tab w:val="left" w:pos="1134" w:leader="none"/>
        </w:tabs>
        <w:bidi w:val="0"/>
        <w:ind w:hanging="0" w:start="709" w:end="0"/>
        <w:jc w:val="both"/>
        <w:rPr>
          <w:rFonts w:ascii="Times New Roman" w:hAnsi="Times New Roman"/>
          <w:sz w:val="22"/>
        </w:rPr>
      </w:pPr>
      <w:r>
        <w:rPr>
          <w:rFonts w:ascii="Times New Roman" w:hAnsi="Times New Roman"/>
          <w:sz w:val="22"/>
        </w:rPr>
        <w:t xml:space="preserve">if the Issuer </w:t>
      </w:r>
      <w:del w:id="103" w:author="rbruce2" w:date="2001-03-23T12:55:00Z">
        <w:r>
          <w:rPr>
            <w:rFonts w:ascii="Times New Roman" w:hAnsi="Times New Roman"/>
            <w:sz w:val="22"/>
          </w:rPr>
          <w:delText xml:space="preserve">of a Letter of Credit </w:delText>
        </w:r>
      </w:del>
      <w:r>
        <w:rPr>
          <w:rFonts w:ascii="Times New Roman" w:hAnsi="Times New Roman"/>
          <w:sz w:val="22"/>
        </w:rPr>
        <w:t xml:space="preserve">shall fail to honour Y’s properly documented request to draw on an outstanding Letter of Credit, provide for the benefit of Y a substitute Letter of Credit issued by an Issuer acceptable to Y or </w:t>
      </w:r>
      <w:ins w:id="104" w:author="rbruce2" w:date="2001-03-23T12:56:00Z">
        <w:r>
          <w:rPr>
            <w:rFonts w:ascii="Times New Roman" w:hAnsi="Times New Roman"/>
            <w:sz w:val="22"/>
          </w:rPr>
          <w:t xml:space="preserve">other </w:t>
        </w:r>
      </w:ins>
      <w:r>
        <w:rPr>
          <w:rFonts w:ascii="Times New Roman" w:hAnsi="Times New Roman"/>
          <w:sz w:val="22"/>
        </w:rPr>
        <w:t>Eligible Credit Support, in each case within two (2) Local Business Days after such refusal.</w:t>
      </w:r>
    </w:p>
    <w:p>
      <w:pPr>
        <w:pStyle w:val="Normal"/>
        <w:widowControl/>
        <w:bidi w:val="0"/>
        <w:ind w:hanging="0" w:start="567" w:end="0"/>
        <w:jc w:val="both"/>
        <w:rPr>
          <w:rFonts w:ascii="Times New Roman" w:hAnsi="Times New Roman"/>
          <w:sz w:val="22"/>
        </w:rPr>
      </w:pPr>
      <w:r>
        <w:rPr>
          <w:rFonts w:ascii="Times New Roman" w:hAnsi="Times New Roman"/>
          <w:sz w:val="22"/>
        </w:rPr>
      </w:r>
    </w:p>
    <w:p>
      <w:pPr>
        <w:pStyle w:val="Normal"/>
        <w:widowControl/>
        <w:numPr>
          <w:ilvl w:val="0"/>
          <w:numId w:val="4"/>
        </w:numPr>
        <w:tabs>
          <w:tab w:val="clear" w:pos="720"/>
          <w:tab w:val="left" w:pos="709" w:leader="none"/>
        </w:tabs>
        <w:bidi w:val="0"/>
        <w:ind w:hanging="0" w:start="284" w:end="0"/>
        <w:jc w:val="both"/>
        <w:rPr>
          <w:rFonts w:ascii="Times New Roman" w:hAnsi="Times New Roman"/>
          <w:sz w:val="22"/>
        </w:rPr>
      </w:pPr>
      <w:r>
        <w:rPr>
          <w:rFonts w:ascii="Times New Roman" w:hAnsi="Times New Roman"/>
          <w:sz w:val="22"/>
        </w:rPr>
        <w:t>Upon the occurrence of a Letter of Credit Default, X agrees to cause a substitute Letter of Credit to be issued to Y or to deliver other Eligible Credit Support to Y on or before the second Local Business Day after the occurrence thereof (or on or before the fifth Local Business Day after the occurrence thereof if only Paragraph 11(i)(iii)(A) applies).</w:t>
      </w:r>
    </w:p>
    <w:p>
      <w:pPr>
        <w:pStyle w:val="Normal"/>
        <w:widowControl/>
        <w:bidi w:val="0"/>
        <w:ind w:hanging="0" w:start="284" w:end="0"/>
        <w:jc w:val="both"/>
        <w:rPr>
          <w:rFonts w:ascii="Times New Roman" w:hAnsi="Times New Roman"/>
          <w:sz w:val="22"/>
        </w:rPr>
      </w:pPr>
      <w:r>
        <w:rPr>
          <w:rFonts w:ascii="Times New Roman" w:hAnsi="Times New Roman"/>
          <w:sz w:val="22"/>
        </w:rPr>
      </w:r>
    </w:p>
    <w:p>
      <w:pPr>
        <w:pStyle w:val="Normal"/>
        <w:widowControl/>
        <w:numPr>
          <w:ilvl w:val="0"/>
          <w:numId w:val="4"/>
        </w:numPr>
        <w:tabs>
          <w:tab w:val="clear" w:pos="720"/>
          <w:tab w:val="left" w:pos="709" w:leader="none"/>
        </w:tabs>
        <w:bidi w:val="0"/>
        <w:ind w:hanging="0" w:start="284" w:end="0"/>
        <w:jc w:val="both"/>
        <w:rPr>
          <w:rFonts w:ascii="Times New Roman" w:hAnsi="Times New Roman"/>
          <w:sz w:val="22"/>
        </w:rPr>
      </w:pPr>
      <w:r>
        <w:rPr>
          <w:rFonts w:ascii="Times New Roman" w:hAnsi="Times New Roman"/>
          <w:sz w:val="22"/>
        </w:rPr>
        <w:t>As one method of providing additional Other Eligible Credit Support or Other Equivalent Credit Support, X may increase the amount of an outstanding Letter of Credit, or establish one or more additional Letters of Credit.</w:t>
      </w:r>
    </w:p>
    <w:p>
      <w:pPr>
        <w:pStyle w:val="Normal"/>
        <w:widowControl/>
        <w:tabs>
          <w:tab w:val="clear" w:pos="720"/>
          <w:tab w:val="left" w:pos="709" w:leader="none"/>
        </w:tabs>
        <w:bidi w:val="0"/>
        <w:ind w:hanging="0" w:start="284" w:end="0"/>
        <w:jc w:val="both"/>
        <w:rPr>
          <w:rFonts w:ascii="Times New Roman" w:hAnsi="Times New Roman"/>
          <w:sz w:val="22"/>
        </w:rPr>
      </w:pPr>
      <w:r>
        <w:rPr>
          <w:rFonts w:ascii="Times New Roman" w:hAnsi="Times New Roman"/>
          <w:sz w:val="22"/>
        </w:rPr>
      </w:r>
    </w:p>
    <w:p>
      <w:pPr>
        <w:pStyle w:val="Normal"/>
        <w:widowControl/>
        <w:numPr>
          <w:ilvl w:val="0"/>
          <w:numId w:val="4"/>
        </w:numPr>
        <w:tabs>
          <w:tab w:val="clear" w:pos="720"/>
          <w:tab w:val="left" w:pos="709" w:leader="none"/>
          <w:tab w:val="left" w:pos="1134" w:leader="none"/>
        </w:tabs>
        <w:bidi w:val="0"/>
        <w:ind w:hanging="0" w:start="284" w:end="0"/>
        <w:jc w:val="both"/>
        <w:rPr>
          <w:rFonts w:ascii="Times New Roman" w:hAnsi="Times New Roman"/>
          <w:sz w:val="22"/>
        </w:rPr>
      </w:pPr>
      <w:ins w:id="105" w:author="rbruce2" w:date="2001-03-23T13:08:00Z">
        <w:r>
          <w:rPr>
            <w:rFonts w:ascii="Times New Roman" w:hAnsi="Times New Roman"/>
            <w:sz w:val="22"/>
          </w:rPr>
          <w:t>(d)</w:t>
        </w:r>
      </w:ins>
      <w:r>
        <w:rPr>
          <w:rFonts w:ascii="Times New Roman" w:hAnsi="Times New Roman"/>
          <w:sz w:val="22"/>
        </w:rPr>
        <w:t>(i)</w:t>
        <w:tab/>
      </w:r>
      <w:del w:id="106" w:author="rbruce2" w:date="2001-03-23T13:07:00Z">
        <w:r>
          <w:rPr>
            <w:rFonts w:ascii="Times New Roman" w:hAnsi="Times New Roman"/>
            <w:sz w:val="22"/>
          </w:rPr>
          <w:delText>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such Letter of Credit upon submission to the relevant Issuer of one or more certificates of Y in accordance with the specific requirements of such Letter of Credit.</w:delText>
        </w:r>
      </w:del>
    </w:p>
    <w:p>
      <w:pPr>
        <w:pStyle w:val="Normal"/>
        <w:widowControl/>
        <w:bidi w:val="0"/>
        <w:ind w:hanging="0" w:start="0" w:end="0"/>
        <w:jc w:val="both"/>
        <w:rPr>
          <w:rFonts w:ascii="Times New Roman" w:hAnsi="Times New Roman"/>
          <w:sz w:val="22"/>
          <w:del w:id="108" w:author="rbruce2" w:date="2001-03-23T13:07:00Z"/>
        </w:rPr>
      </w:pPr>
      <w:del w:id="107" w:author="rbruce2" w:date="2001-03-23T13:07:00Z">
        <w:r>
          <w:rPr>
            <w:rFonts w:ascii="Times New Roman" w:hAnsi="Times New Roman"/>
            <w:sz w:val="22"/>
          </w:rPr>
        </w:r>
      </w:del>
    </w:p>
    <w:p>
      <w:pPr>
        <w:pStyle w:val="Normal"/>
        <w:widowControl/>
        <w:tabs>
          <w:tab w:val="clear" w:pos="720"/>
          <w:tab w:val="left" w:pos="709" w:leader="none"/>
          <w:tab w:val="left" w:pos="1134" w:leader="none"/>
        </w:tabs>
        <w:bidi w:val="0"/>
        <w:spacing w:before="0" w:after="0"/>
        <w:ind w:hanging="0" w:start="284" w:end="0"/>
        <w:rPr>
          <w:rFonts w:ascii="Times New Roman" w:hAnsi="Times New Roman"/>
          <w:ins w:id="113" w:author="rbruce2" w:date="2001-03-23T13:08:00Z"/>
        </w:rPr>
      </w:pPr>
      <w:del w:id="109" w:author="rbruce2" w:date="2001-03-23T13:07:00Z">
        <w:r>
          <w:rPr>
            <w:rFonts w:ascii="Times New Roman" w:hAnsi="Times New Roman"/>
          </w:rPr>
          <w:tab/>
          <w:delText>(ii)</w:delText>
        </w:r>
      </w:del>
      <w:r>
        <w:rPr>
          <w:rFonts w:ascii="Times New Roman" w:hAnsi="Times New Roman"/>
        </w:rPr>
        <w:tab/>
        <w:t xml:space="preserve">Upon or at any time after the occurrence of an Event of Default with respect to X, Y may draw on the entire, undrawn portion of any outstanding Letter of Credit upon submission to the Issuer of such Letter of Credit of one or more certificates in accordance with the specific requirements of such Letter of Credit.  Cash proceeds received from drawing upon the Letter of Credit shall be deemed Eligible Credit Support and shall </w:t>
      </w:r>
      <w:ins w:id="110" w:author="rbruce2" w:date="2001-03-23T13:04:00Z">
        <w:r>
          <w:rPr>
            <w:rFonts w:ascii="Times New Roman" w:hAnsi="Times New Roman"/>
          </w:rPr>
          <w:t xml:space="preserve">either be (y) applied </w:t>
        </w:r>
      </w:ins>
      <w:ins w:id="111" w:author="rbruce2" w:date="2001-03-23T13:07:00Z">
        <w:r>
          <w:rPr>
            <w:rFonts w:ascii="Times New Roman" w:hAnsi="Times New Roman"/>
          </w:rPr>
          <w:t xml:space="preserve">against all amounts that are due and owing from X but have not been paid to Y within the time allowed for such payments under this Agreement or (z) </w:t>
        </w:r>
      </w:ins>
      <w:r>
        <w:rPr>
          <w:rFonts w:ascii="Times New Roman" w:hAnsi="Times New Roman"/>
        </w:rPr>
        <w:t>be maintained in accordance with this Annex.  Notwithstanding Y’s receipt of cash under the Letter of Credit, X shall remain liable to Y for any failure to transfer sufficient Eligible Credit Support or Other Eligible Credit Support to Y in accordance with the terms of this Annex.</w:t>
      </w:r>
      <w:ins w:id="112" w:author="rbruce2" w:date="2001-03-23T13:08:00Z">
        <w:r>
          <w:rPr>
            <w:rFonts w:ascii="Times New Roman" w:hAnsi="Times New Roman"/>
          </w:rPr>
          <w:t xml:space="preserve">  In addition, X shall remain liable for any amounts owing to Y and remaining unpaid after the application of the amounts so drawn by Y.</w:t>
        </w:r>
      </w:ins>
    </w:p>
    <w:p>
      <w:pPr>
        <w:pStyle w:val="Normal"/>
        <w:widowControl/>
        <w:tabs>
          <w:tab w:val="clear" w:pos="720"/>
          <w:tab w:val="left" w:pos="709" w:leader="none"/>
        </w:tabs>
        <w:bidi w:val="0"/>
        <w:ind w:hanging="0" w:start="0" w:end="0"/>
        <w:jc w:val="both"/>
        <w:rPr>
          <w:rFonts w:ascii="Times New Roman" w:hAnsi="Times New Roman"/>
          <w:sz w:val="22"/>
          <w:ins w:id="115" w:author="rbruce2" w:date="2001-03-23T13:08:00Z"/>
        </w:rPr>
      </w:pPr>
      <w:ins w:id="114" w:author="rbruce2" w:date="2001-03-23T13:08:00Z">
        <w:r>
          <w:rPr>
            <w:rFonts w:ascii="Times New Roman" w:hAnsi="Times New Roman"/>
            <w:sz w:val="22"/>
          </w:rPr>
        </w:r>
      </w:ins>
    </w:p>
    <w:p>
      <w:pPr>
        <w:pStyle w:val="Normal"/>
        <w:widowControl/>
        <w:tabs>
          <w:tab w:val="clear" w:pos="720"/>
          <w:tab w:val="left" w:pos="709" w:leader="none"/>
        </w:tabs>
        <w:bidi w:val="0"/>
        <w:ind w:hanging="0" w:start="270" w:end="0"/>
        <w:jc w:val="both"/>
        <w:rPr>
          <w:rFonts w:ascii="Times New Roman" w:hAnsi="Times New Roman"/>
          <w:sz w:val="22"/>
        </w:rPr>
      </w:pPr>
      <w:ins w:id="116" w:author="rbruce2" w:date="2001-03-23T13:10:00Z">
        <w:r>
          <w:rPr>
            <w:rFonts w:ascii="Times New Roman" w:hAnsi="Times New Roman"/>
            <w:sz w:val="22"/>
          </w:rPr>
          <w:t xml:space="preserve"> </w:t>
        </w:r>
      </w:ins>
      <w:ins w:id="117" w:author="rbruce2" w:date="2001-03-23T13:10:00Z">
        <w:r>
          <w:rPr>
            <w:rFonts w:ascii="Times New Roman" w:hAnsi="Times New Roman"/>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w:t>
        </w:r>
      </w:ins>
      <w:ins w:id="118" w:author="rbruce2" w:date="2001-03-23T13:12:00Z">
        <w:r>
          <w:rPr>
            <w:rFonts w:ascii="Times New Roman" w:hAnsi="Times New Roman"/>
            <w:sz w:val="22"/>
          </w:rPr>
          <w:t>ing unpaid after the application of the amounts so drawn by Y.</w:t>
        </w:r>
      </w:ins>
      <w:ins w:id="119" w:author="rbruce2" w:date="2001-03-23T13:10:00Z">
        <w:r>
          <w:rPr>
            <w:rFonts w:ascii="Times New Roman" w:hAnsi="Times New Roman"/>
            <w:sz w:val="22"/>
          </w:rPr>
          <w:t xml:space="preserve">    </w:t>
        </w:r>
      </w:ins>
    </w:p>
    <w:p>
      <w:pPr>
        <w:pStyle w:val="Normal"/>
        <w:widowControl/>
        <w:tabs>
          <w:tab w:val="clear" w:pos="720"/>
          <w:tab w:val="left" w:pos="709" w:leader="none"/>
        </w:tabs>
        <w:bidi w:val="0"/>
        <w:ind w:hanging="0" w:start="0" w:end="0"/>
        <w:jc w:val="both"/>
        <w:rPr>
          <w:rFonts w:ascii="Times New Roman" w:hAnsi="Times New Roman"/>
          <w:sz w:val="22"/>
        </w:rPr>
      </w:pPr>
      <w:r>
        <w:rPr>
          <w:rFonts w:ascii="Times New Roman" w:hAnsi="Times New Roman"/>
          <w:sz w:val="22"/>
        </w:rPr>
      </w:r>
    </w:p>
    <w:p>
      <w:pPr>
        <w:pStyle w:val="Justified"/>
        <w:widowControl/>
        <w:bidi w:val="0"/>
        <w:spacing w:before="0" w:after="0"/>
        <w:ind w:hanging="0" w:start="284" w:end="0"/>
        <w:rPr>
          <w:rFonts w:ascii="Times New Roman" w:hAnsi="Times New Roman"/>
        </w:rPr>
      </w:pPr>
      <w:ins w:id="120" w:author="rbruce2" w:date="2001-03-23T13:13:00Z">
        <w:r>
          <w:rPr>
            <w:rFonts w:ascii="Times New Roman" w:hAnsi="Times New Roman"/>
          </w:rPr>
          <w:t xml:space="preserve">(e)   </w:t>
        </w:r>
      </w:ins>
      <w:r>
        <w:rPr>
          <w:rFonts w:ascii="Times New Roman" w:hAnsi="Times New Roman"/>
        </w:rPr>
        <w:t>If a party’s Credit Support Provider shall cause a Letter of Credit to be issued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cause a Letter of Credit to be issued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tabs>
          <w:tab w:val="clear" w:pos="720"/>
          <w:tab w:val="left" w:pos="709" w:leader="none"/>
        </w:tabs>
        <w:bidi w:val="0"/>
        <w:ind w:hanging="0" w:start="284" w:end="0"/>
        <w:jc w:val="both"/>
        <w:rPr>
          <w:rFonts w:ascii="Times New Roman" w:hAnsi="Times New Roman"/>
          <w:sz w:val="22"/>
          <w:del w:id="122" w:author="rbruce2" w:date="2001-03-23T13:18:00Z"/>
        </w:rPr>
      </w:pPr>
      <w:del w:id="121" w:author="rbruce2" w:date="2001-03-23T13:18:00Z">
        <w:r>
          <w:rPr>
            <w:rFonts w:ascii="Times New Roman" w:hAnsi="Times New Roman"/>
            <w:sz w:val="22"/>
          </w:rPr>
        </w:r>
      </w:del>
    </w:p>
    <w:p>
      <w:pPr>
        <w:pStyle w:val="Normal"/>
        <w:widowControl/>
        <w:bidi w:val="0"/>
        <w:ind w:hanging="0" w:start="0" w:end="0"/>
        <w:jc w:val="both"/>
        <w:rPr>
          <w:rFonts w:ascii="Times New Roman" w:hAnsi="Times New Roman"/>
          <w:sz w:val="22"/>
        </w:rPr>
      </w:pPr>
      <w:del w:id="123" w:author="rbruce2" w:date="2001-03-23T13:18:00Z">
        <w:r>
          <w:rPr>
            <w:rFonts w:ascii="Times New Roman" w:hAnsi="Times New Roman"/>
            <w:sz w:val="22"/>
          </w:rPr>
          <w:delText>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up to an amount equal to such amounts owing to it.  X shall remain liable for any amounts owing to Y and remaining unpaid after the application of the amounts so drawn by Y.</w:delText>
        </w:r>
      </w:del>
    </w:p>
    <w:p>
      <w:pPr>
        <w:pStyle w:val="Normal"/>
        <w:widowControl/>
        <w:tabs>
          <w:tab w:val="clear" w:pos="720"/>
          <w:tab w:val="left" w:pos="709" w:leader="none"/>
        </w:tabs>
        <w:bidi w:val="0"/>
        <w:ind w:hanging="0" w:start="284" w:end="0"/>
        <w:jc w:val="both"/>
        <w:rPr>
          <w:rFonts w:ascii="Times New Roman" w:hAnsi="Times New Roman"/>
          <w:sz w:val="22"/>
        </w:rPr>
      </w:pPr>
      <w:r>
        <w:rPr>
          <w:rFonts w:ascii="Times New Roman" w:hAnsi="Times New Roman"/>
          <w:sz w:val="22"/>
        </w:rPr>
      </w:r>
    </w:p>
    <w:p>
      <w:pPr>
        <w:sectPr>
          <w:headerReference w:type="even" r:id="rId8"/>
          <w:headerReference w:type="default" r:id="rId9"/>
          <w:headerReference w:type="first" r:id="rId10"/>
          <w:footerReference w:type="even" r:id="rId11"/>
          <w:footerReference w:type="default" r:id="rId12"/>
          <w:footerReference w:type="first" r:id="rId13"/>
          <w:footnotePr>
            <w:numFmt w:val="decimal"/>
          </w:footnotePr>
          <w:type w:val="nextPage"/>
          <w:pgSz w:w="11906" w:h="16838"/>
          <w:pgMar w:left="1077" w:right="1077" w:gutter="0" w:header="709" w:top="1440" w:footer="709" w:bottom="1440"/>
          <w:pgNumType w:start="1" w:fmt="decimal"/>
          <w:formProt w:val="false"/>
          <w:textDirection w:val="lrTb"/>
          <w:docGrid w:type="default" w:linePitch="100" w:charSpace="0"/>
        </w:sectPr>
        <w:pStyle w:val="Normal"/>
        <w:widowControl/>
        <w:bidi w:val="0"/>
        <w:ind w:hanging="0" w:start="284" w:end="0"/>
        <w:jc w:val="both"/>
        <w:rPr>
          <w:rFonts w:ascii="Times New Roman" w:hAnsi="Times New Roman"/>
          <w:sz w:val="22"/>
        </w:rPr>
      </w:pPr>
      <w:ins w:id="124" w:author="rbruce2" w:date="2001-03-23T13:18:00Z">
        <w:r>
          <w:rPr>
            <w:rFonts w:ascii="Times New Roman" w:hAnsi="Times New Roman"/>
            <w:sz w:val="22"/>
          </w:rPr>
          <w:t xml:space="preserve">(f)   </w:t>
        </w:r>
      </w:ins>
      <w:r>
        <w:rPr>
          <w:rFonts w:ascii="Times New Roman" w:hAnsi="Times New Roman"/>
          <w:sz w:val="22"/>
        </w:rPr>
        <w:t xml:space="preserve">The provisions of this </w:t>
      </w:r>
      <w:r>
        <w:rPr>
          <w:rFonts w:ascii="Times New Roman" w:hAnsi="Times New Roman"/>
          <w:sz w:val="22"/>
          <w:u w:val="single"/>
        </w:rPr>
        <w:t>Exhibit A</w:t>
      </w:r>
      <w:r>
        <w:rPr>
          <w:rFonts w:ascii="Times New Roman" w:hAnsi="Times New Roman"/>
          <w:sz w:val="22"/>
        </w:rPr>
        <w:t xml:space="preserve"> shall constitute an agreement for all purposes of this Agreement and this Annex, including Section 5(a)(iii) of this Agreement.</w:t>
      </w:r>
    </w:p>
    <w:p>
      <w:pPr>
        <w:pStyle w:val="Normal"/>
        <w:widowControl/>
        <w:bidi w:val="0"/>
        <w:ind w:hanging="0" w:start="0" w:end="0"/>
        <w:jc w:val="center"/>
        <w:rPr>
          <w:rFonts w:ascii="Times New Roman" w:hAnsi="Times New Roman"/>
          <w:sz w:val="22"/>
        </w:rPr>
      </w:pPr>
      <w:r>
        <w:rPr>
          <w:rFonts w:ascii="Times New Roman" w:hAnsi="Times New Roman"/>
          <w:b/>
          <w:sz w:val="22"/>
          <w:u w:val="single"/>
        </w:rPr>
        <w:t>SCHEDULE 1</w:t>
      </w:r>
    </w:p>
    <w:p>
      <w:pPr>
        <w:pStyle w:val="Normal"/>
        <w:widowControl/>
        <w:bidi w:val="0"/>
        <w:ind w:hanging="0" w:start="0" w:end="0"/>
        <w:jc w:val="center"/>
        <w:rPr>
          <w:rFonts w:ascii="Times New Roman" w:hAnsi="Times New Roman"/>
          <w:sz w:val="22"/>
        </w:rPr>
      </w:pPr>
      <w:r>
        <w:rPr>
          <w:rFonts w:ascii="Times New Roman" w:hAnsi="Times New Roman"/>
          <w:sz w:val="22"/>
        </w:rPr>
      </w:r>
    </w:p>
    <w:p>
      <w:pPr>
        <w:pStyle w:val="Normal"/>
        <w:widowControl/>
        <w:bidi w:val="0"/>
        <w:ind w:hanging="0" w:start="0" w:end="0"/>
        <w:jc w:val="center"/>
        <w:rPr>
          <w:rFonts w:ascii="Times New Roman" w:hAnsi="Times New Roman"/>
          <w:sz w:val="22"/>
        </w:rPr>
      </w:pPr>
      <w:r>
        <w:rPr>
          <w:rFonts w:ascii="Times New Roman" w:hAnsi="Times New Roman"/>
          <w:sz w:val="22"/>
        </w:rPr>
        <w:t>IRREVOCABLE STANDBY LETTER OF CREDIT FORMAT</w:t>
      </w:r>
    </w:p>
    <w:p>
      <w:pPr>
        <w:pStyle w:val="Normal"/>
        <w:widowControl/>
        <w:bidi w:val="0"/>
        <w:ind w:hanging="0" w:start="0" w:end="0"/>
        <w:jc w:val="center"/>
        <w:rPr>
          <w:rFonts w:ascii="Times New Roman" w:hAnsi="Times New Roman"/>
          <w:sz w:val="22"/>
        </w:rPr>
      </w:pPr>
      <w:r>
        <w:rPr>
          <w:rFonts w:ascii="Times New Roman" w:hAnsi="Times New Roman"/>
          <w:sz w:val="22"/>
        </w:rPr>
        <w:t xml:space="preserve">DATE OF ISSUANCE:  </w:t>
      </w:r>
      <w:r>
        <w:rPr>
          <w:rFonts w:ascii="Times New Roman" w:hAnsi="Times New Roman"/>
          <w:sz w:val="22"/>
          <w:u w:val="single"/>
        </w:rPr>
        <w:tab/>
        <w:tab/>
        <w:tab/>
      </w:r>
    </w:p>
    <w:p>
      <w:pPr>
        <w:pStyle w:val="Normal"/>
        <w:widowControl/>
        <w:bidi w:val="0"/>
        <w:ind w:hanging="0" w:start="0" w:end="0"/>
        <w:jc w:val="center"/>
        <w:rPr>
          <w:rFonts w:ascii="Times New Roman" w:hAnsi="Times New Roman"/>
          <w:sz w:val="22"/>
        </w:rPr>
      </w:pPr>
      <w:r>
        <w:rPr>
          <w:rFonts w:ascii="Times New Roman" w:hAnsi="Times New Roman"/>
          <w:sz w:val="22"/>
        </w:rPr>
      </w:r>
    </w:p>
    <w:p>
      <w:pPr>
        <w:pStyle w:val="Normal"/>
        <w:widowControl/>
        <w:bidi w:val="0"/>
        <w:ind w:hanging="0" w:start="0" w:end="0"/>
        <w:jc w:val="start"/>
        <w:rPr>
          <w:rFonts w:ascii="Times New Roman" w:hAnsi="Times New Roman"/>
          <w:sz w:val="22"/>
        </w:rPr>
      </w:pPr>
      <w:r>
        <w:rPr>
          <w:rFonts w:ascii="Times New Roman" w:hAnsi="Times New Roman"/>
          <w:sz w:val="22"/>
        </w:rPr>
        <w:t>[Address]</w:t>
      </w:r>
    </w:p>
    <w:p>
      <w:pPr>
        <w:pStyle w:val="Normal"/>
        <w:widowControl/>
        <w:bidi w:val="0"/>
        <w:ind w:hanging="0" w:start="0" w:end="0"/>
        <w:jc w:val="start"/>
        <w:rPr>
          <w:rFonts w:ascii="Times New Roman" w:hAnsi="Times New Roman"/>
          <w:sz w:val="22"/>
        </w:rPr>
      </w:pPr>
      <w:r>
        <w:rPr>
          <w:rFonts w:ascii="Times New Roman" w:hAnsi="Times New Roman"/>
          <w:sz w:val="22"/>
        </w:rPr>
      </w:r>
    </w:p>
    <w:p>
      <w:pPr>
        <w:pStyle w:val="Normal"/>
        <w:widowControl/>
        <w:bidi w:val="0"/>
        <w:ind w:hanging="0" w:start="0" w:end="0"/>
        <w:jc w:val="start"/>
        <w:rPr>
          <w:rFonts w:ascii="Times New Roman" w:hAnsi="Times New Roman"/>
          <w:sz w:val="22"/>
        </w:rPr>
      </w:pPr>
      <w:r>
        <w:rPr>
          <w:rFonts w:ascii="Times New Roman" w:hAnsi="Times New Roman"/>
          <w:sz w:val="22"/>
        </w:rPr>
        <w:tab/>
        <w:t>Re:  Credit No. _______________</w:t>
      </w:r>
    </w:p>
    <w:p>
      <w:pPr>
        <w:pStyle w:val="Normal"/>
        <w:widowControl/>
        <w:bidi w:val="0"/>
        <w:ind w:hanging="0" w:start="0" w:end="0"/>
        <w:jc w:val="start"/>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sz w:val="22"/>
        </w:rPr>
        <w:tab/>
        <w:t>We hereby establish our irrevocable standby letter of credit in your favour for the account of _______________________ (the “Account Party”), for the aggregate amount not exceeding ______________________ United States Dollars ($___________), available to you at sight upon demand at our counters at (</w:t>
      </w:r>
      <w:r>
        <w:rPr>
          <w:rFonts w:ascii="Times New Roman" w:hAnsi="Times New Roman"/>
          <w:sz w:val="22"/>
          <w:u w:val="single"/>
        </w:rPr>
        <w:t>Location</w:t>
      </w:r>
      <w:r>
        <w:rPr>
          <w:rFonts w:ascii="Times New Roman" w:hAnsi="Times New Roman"/>
          <w:sz w:val="22"/>
        </w:rPr>
        <w:t>) on or before the expiration hereof against presentation to us of the following statement, dated and signed by a representative of the beneficiary:</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hanging="0" w:start="709" w:end="0"/>
        <w:jc w:val="both"/>
        <w:rPr>
          <w:rFonts w:ascii="Times New Roman" w:hAnsi="Times New Roman"/>
          <w:sz w:val="22"/>
        </w:rPr>
      </w:pPr>
      <w:ins w:id="125" w:author="rbruce2" w:date="2001-03-23T13:19:00Z">
        <w:r>
          <w:rPr>
            <w:rFonts w:ascii="Times New Roman" w:hAnsi="Times New Roman"/>
            <w:sz w:val="22"/>
          </w:rPr>
          <w:t xml:space="preserve">1.  </w:t>
        </w:r>
      </w:ins>
      <w:r>
        <w:rPr>
          <w:rFonts w:ascii="Times New Roman" w:hAnsi="Times New Roman"/>
          <w:sz w:val="22"/>
        </w:rPr>
        <w:t>“An Event of Default (as defined in the ISDA Master Agreement dated as of _____________, 19___, between beneficiary and Account Party, as the same may have been amended (the “Master Agreement”)) has occurred and is continuing with respect to Account Party under the Master Agreement</w:t>
      </w:r>
      <w:ins w:id="126" w:author="rbruce2" w:date="2001-03-23T13:20:00Z">
        <w:r>
          <w:rPr>
            <w:rFonts w:ascii="Times New Roman" w:hAnsi="Times New Roman"/>
            <w:sz w:val="22"/>
          </w:rPr>
          <w:t>.  Wherefore, the undersigned does hereby demand payment of the entire undrawn amount of the Letter of Credit</w:t>
        </w:r>
      </w:ins>
      <w:r>
        <w:rPr>
          <w:rFonts w:ascii="Times New Roman" w:hAnsi="Times New Roman"/>
          <w:sz w:val="22"/>
        </w:rPr>
        <w:t>”</w:t>
      </w:r>
      <w:ins w:id="127" w:author="rbruce2" w:date="2001-03-23T13:20:00Z">
        <w:r>
          <w:rPr>
            <w:rFonts w:ascii="Times New Roman" w:hAnsi="Times New Roman"/>
            <w:sz w:val="22"/>
          </w:rPr>
          <w:t>; or</w:t>
        </w:r>
      </w:ins>
      <w:r>
        <w:rPr>
          <w:rFonts w:ascii="Times New Roman" w:hAnsi="Times New Roman"/>
          <w:sz w:val="22"/>
        </w:rPr>
        <w:t>.</w:t>
      </w:r>
    </w:p>
    <w:p>
      <w:pPr>
        <w:pStyle w:val="BodyText2"/>
        <w:tabs>
          <w:tab w:val="clear" w:pos="1440"/>
          <w:tab w:val="left" w:pos="720" w:leader="none"/>
        </w:tabs>
        <w:bidi w:val="0"/>
        <w:spacing w:before="0" w:after="0"/>
        <w:rPr>
          <w:rFonts w:ascii="Times New Roman" w:hAnsi="Times New Roman"/>
        </w:rPr>
      </w:pPr>
      <w:ins w:id="128" w:author="rbruce2" w:date="2001-03-23T13:20:00Z">
        <w:r>
          <w:rPr>
            <w:rFonts w:ascii="Times New Roman" w:hAnsi="Times New Roman"/>
          </w:rPr>
          <w:t>2.  “An Early Termination date (as defined in the Master Agreement) has occurred as a result of a Termination Event (as defined in the Master Agreement) and Account Party has failed to make all payments in an aggregate amount of $____________ due and owing to beneficiary in accordance with the terms of the Master Agreement.  Wherefore, the undersigned does hereby demand payment of $_____________.</w:t>
        </w:r>
      </w:ins>
      <w:ins w:id="129" w:author="rbruce2" w:date="2001-03-23T13:22:00Z">
        <w:r>
          <w:rPr>
            <w:rFonts w:ascii="Times New Roman" w:hAnsi="Times New Roman"/>
          </w:rPr>
          <w:t>”</w:t>
        </w:r>
      </w:ins>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tab/>
        <w:t>The amount which may be drawn by you under this letter of credit shall be automatically reduced by the amount of any drawings honoured by us.  Multiple drawings are permitted hereunder.</w:t>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bidi w:val="0"/>
        <w:ind w:hanging="0" w:start="0" w:end="0"/>
        <w:jc w:val="both"/>
        <w:rPr>
          <w:rFonts w:ascii="Times New Roman" w:hAnsi="Times New Roman"/>
          <w:sz w:val="22"/>
          <w:ins w:id="131" w:author="rbruce2" w:date="2001-03-23T13:24:00Z"/>
        </w:rPr>
      </w:pPr>
      <w:ins w:id="130" w:author="rbruce2" w:date="2001-03-23T13:24:00Z">
        <w:r>
          <w:rPr>
            <w:rFonts w:ascii="Times New Roman" w:hAnsi="Times New Roman"/>
            <w:sz w:val="22"/>
          </w:rPr>
        </w:r>
      </w:ins>
    </w:p>
    <w:p>
      <w:pPr>
        <w:pStyle w:val="Normal"/>
        <w:widowControl/>
        <w:tabs>
          <w:tab w:val="left" w:pos="720" w:leader="none"/>
        </w:tabs>
        <w:bidi w:val="0"/>
        <w:ind w:hanging="0" w:start="0" w:end="0"/>
        <w:jc w:val="both"/>
        <w:rPr>
          <w:rFonts w:ascii="Times New Roman" w:hAnsi="Times New Roman"/>
          <w:sz w:val="22"/>
        </w:rPr>
      </w:pPr>
      <w:ins w:id="132" w:author="rbruce2" w:date="2001-03-23T13:24:00Z">
        <w:r>
          <w:rPr>
            <w:rFonts w:ascii="Times New Roman" w:hAnsi="Times New Roman"/>
            <w:sz w:val="22"/>
          </w:rPr>
          <w:tab/>
          <w:t>With respect to Article 13(b) of the UCP, the Issuing Bank shall have a reasonable amount of time, not to exceed three (3) banking days following the date of its receipt of documents from the beneficiary, to examing the documents and determine whether to take up or refuse the documents and to inform the beneficiary accordingly.</w:t>
        </w:r>
      </w:ins>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tab/>
        <w:t>This Letter of Credit is irrevocable.</w:t>
      </w:r>
    </w:p>
    <w:p>
      <w:pPr>
        <w:pStyle w:val="Normal"/>
        <w:widowControl/>
        <w:tabs>
          <w:tab w:val="left" w:pos="720" w:leader="none"/>
        </w:tabs>
        <w:bidi w:val="0"/>
        <w:ind w:hanging="0" w:start="0" w:end="0"/>
        <w:jc w:val="start"/>
        <w:rPr>
          <w:rFonts w:ascii="Times New Roman" w:hAnsi="Times New Roman"/>
          <w:sz w:val="22"/>
        </w:rPr>
      </w:pPr>
      <w:r>
        <w:rPr>
          <w:rFonts w:ascii="Times New Roman" w:hAnsi="Times New Roman"/>
          <w:sz w:val="22"/>
        </w:rPr>
      </w:r>
    </w:p>
    <w:p>
      <w:pPr>
        <w:pStyle w:val="Normal"/>
        <w:widowControl/>
        <w:tabs>
          <w:tab w:val="clear" w:pos="720"/>
          <w:tab w:val="left" w:pos="4320" w:leader="none"/>
          <w:tab w:val="left" w:pos="5040" w:leader="none"/>
          <w:tab w:val="left" w:pos="5760" w:leader="none"/>
        </w:tabs>
        <w:bidi w:val="0"/>
        <w:ind w:hanging="0" w:start="5040" w:end="0"/>
        <w:jc w:val="start"/>
        <w:rPr>
          <w:rFonts w:ascii="Times New Roman" w:hAnsi="Times New Roman"/>
          <w:sz w:val="22"/>
        </w:rPr>
      </w:pPr>
      <w:r>
        <w:rPr>
          <w:rFonts w:ascii="Times New Roman" w:hAnsi="Times New Roman"/>
          <w:sz w:val="22"/>
        </w:rPr>
        <w:t>[BANK SIGNATURE]</w:t>
      </w:r>
    </w:p>
    <w:sectPr>
      <w:headerReference w:type="default" r:id="rId14"/>
      <w:headerReference w:type="first" r:id="rId15"/>
      <w:footerReference w:type="even" r:id="rId16"/>
      <w:footerReference w:type="default" r:id="rId17"/>
      <w:footerReference w:type="first" r:id="rId18"/>
      <w:footnotePr>
        <w:numFmt w:val="decimal"/>
      </w:footnotePr>
      <w:type w:val="nextPage"/>
      <w:pgSz w:w="11906" w:h="16838"/>
      <w:pgMar w:left="1077" w:right="1077" w:gutter="0" w:header="568" w:top="993" w:footer="430" w:bottom="709"/>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Dutch Roman   Roman 8) (FW">
    <w:altName w:val=" Por"/>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p>
    <w:pPr>
      <w:pStyle w:val="Footer"/>
      <w:widowControl/>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/mnt/main-storage/datasets/enron-docs/rtf/ECTRIC_CSA_para_11_Proposed_Rev.doc.rtf</w:t>
    </w:r>
    <w:r>
      <w:rPr>
        <w:sz w:val="12"/>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p>
    <w:pPr>
      <w:pStyle w:val="Footer"/>
      <w:widowControl/>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/mnt/main-storage/datasets/enron-docs/rtf/ECTRIC_CSA_para_11_Proposed_Rev.doc.rtf</w:t>
    </w:r>
    <w:r>
      <w:rPr>
        <w:sz w:val="12"/>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center"/>
      <w:rPr>
        <w:rFonts w:ascii="Times New Roman" w:hAnsi="Times New Roman"/>
        <w:sz w:val="16"/>
      </w:rPr>
    </w:pPr>
    <w:r>
      <w:rPr>
        <w:rFonts w:ascii="Times New Roman" w:hAnsi="Times New Roman"/>
        <w:sz w:val="16"/>
      </w:rPr>
      <w:t>Exhibit A</w:t>
    </w:r>
  </w:p>
  <w:p>
    <w:pPr>
      <w:pStyle w:val="Normal"/>
      <w:widowControl/>
      <w:bidi w:val="0"/>
      <w:ind w:hanging="0" w:start="0" w:end="0"/>
      <w:jc w:val="center"/>
      <w:rPr>
        <w:rFonts w:ascii="Times New Roman" w:hAnsi="Times New Roman"/>
        <w:sz w:val="16"/>
      </w:rPr>
    </w:pPr>
    <w:r>
      <w:rPr>
        <w:rFonts w:ascii="Times New Roman" w:hAnsi="Times New Roman"/>
        <w:sz w:val="16"/>
      </w:rPr>
      <w:t>to Paragraph 11</w:t>
    </w:r>
  </w:p>
  <w:p>
    <w:pPr>
      <w:pStyle w:val="Normal"/>
      <w:widowControl/>
      <w:bidi w:val="0"/>
      <w:ind w:hanging="0" w:start="0" w:end="0"/>
      <w:jc w:val="center"/>
      <w:rPr>
        <w:rFonts w:ascii="Times New Roman" w:hAnsi="Times New Roman"/>
        <w:sz w:val="16"/>
      </w:rPr>
    </w:pPr>
    <w:r>
      <w:rPr>
        <w:rFonts w:ascii="Times New Roman" w:hAnsi="Times New Roman"/>
        <w:sz w:val="16"/>
      </w:rPr>
      <w:t>of Annex A</w:t>
    </w:r>
  </w:p>
  <w:p>
    <w:pPr>
      <w:pStyle w:val="Footer"/>
      <w:widowControl/>
      <w:bidi w:val="0"/>
      <w:jc w:val="center"/>
      <w:rPr>
        <w:rFonts w:ascii="Times New Roman" w:hAnsi="Times New Roman"/>
        <w:sz w:val="16"/>
      </w:rPr>
    </w:pPr>
    <w:r>
      <w:rPr>
        <w:rFonts w:ascii="Times New Roman" w:hAnsi="Times New Roman"/>
        <w:sz w:val="16"/>
      </w:rPr>
      <w:t xml:space="preserve">Page </w:t>
    </w:r>
    <w:r>
      <w:rPr>
        <w:rFonts w:ascii="Times New Roman" w:hAnsi="Times New Roman"/>
        <w:sz w:val="16"/>
      </w:rPr>
      <w:fldChar w:fldCharType="begin"/>
    </w:r>
    <w:r>
      <w:rPr>
        <w:sz w:val="16"/>
        <w:rFonts w:ascii="Times New Roman" w:hAnsi="Times New Roman"/>
      </w:rPr>
      <w:instrText xml:space="preserve"> PAGE </w:instrText>
    </w:r>
    <w:r>
      <w:rPr>
        <w:sz w:val="16"/>
        <w:rFonts w:ascii="Times New Roman" w:hAnsi="Times New Roman"/>
      </w:rPr>
      <w:fldChar w:fldCharType="separate"/>
    </w:r>
    <w:r>
      <w:rPr>
        <w:sz w:val="16"/>
        <w:rFonts w:ascii="Times New Roman" w:hAnsi="Times New Roman"/>
      </w:rPr>
      <w:t>2</w:t>
    </w:r>
    <w:r>
      <w:rPr>
        <w:sz w:val="16"/>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center"/>
      <w:rPr>
        <w:rFonts w:ascii="Times New Roman" w:hAnsi="Times New Roman"/>
        <w:sz w:val="16"/>
      </w:rPr>
    </w:pPr>
    <w:r>
      <w:rPr>
        <w:rFonts w:ascii="Times New Roman" w:hAnsi="Times New Roman"/>
        <w:sz w:val="16"/>
      </w:rPr>
      <w:t>Exhibit A</w:t>
    </w:r>
  </w:p>
  <w:p>
    <w:pPr>
      <w:pStyle w:val="Normal"/>
      <w:widowControl/>
      <w:bidi w:val="0"/>
      <w:ind w:hanging="0" w:start="0" w:end="0"/>
      <w:jc w:val="center"/>
      <w:rPr>
        <w:rFonts w:ascii="Times New Roman" w:hAnsi="Times New Roman"/>
        <w:sz w:val="16"/>
      </w:rPr>
    </w:pPr>
    <w:r>
      <w:rPr>
        <w:rFonts w:ascii="Times New Roman" w:hAnsi="Times New Roman"/>
        <w:sz w:val="16"/>
      </w:rPr>
      <w:t>to Paragraph 11</w:t>
    </w:r>
  </w:p>
  <w:p>
    <w:pPr>
      <w:pStyle w:val="Normal"/>
      <w:widowControl/>
      <w:bidi w:val="0"/>
      <w:ind w:hanging="0" w:start="0" w:end="0"/>
      <w:jc w:val="center"/>
      <w:rPr>
        <w:rFonts w:ascii="Times New Roman" w:hAnsi="Times New Roman"/>
        <w:sz w:val="16"/>
      </w:rPr>
    </w:pPr>
    <w:r>
      <w:rPr>
        <w:rFonts w:ascii="Times New Roman" w:hAnsi="Times New Roman"/>
        <w:sz w:val="16"/>
      </w:rPr>
      <w:t>of Annex A</w:t>
    </w:r>
  </w:p>
  <w:p>
    <w:pPr>
      <w:pStyle w:val="Footer"/>
      <w:widowControl/>
      <w:bidi w:val="0"/>
      <w:jc w:val="center"/>
      <w:rPr>
        <w:rFonts w:ascii="Times New Roman" w:hAnsi="Times New Roman"/>
        <w:sz w:val="16"/>
      </w:rPr>
    </w:pPr>
    <w:r>
      <w:rPr>
        <w:rFonts w:ascii="Times New Roman" w:hAnsi="Times New Roman"/>
        <w:sz w:val="16"/>
      </w:rPr>
      <w:t xml:space="preserve">Page </w:t>
    </w:r>
    <w:r>
      <w:rPr>
        <w:rFonts w:ascii="Times New Roman" w:hAnsi="Times New Roman"/>
        <w:sz w:val="16"/>
      </w:rPr>
      <w:fldChar w:fldCharType="begin"/>
    </w:r>
    <w:r>
      <w:rPr>
        <w:sz w:val="16"/>
        <w:rFonts w:ascii="Times New Roman" w:hAnsi="Times New Roman"/>
      </w:rPr>
      <w:instrText xml:space="preserve"> PAGE </w:instrText>
    </w:r>
    <w:r>
      <w:rPr>
        <w:sz w:val="16"/>
        <w:rFonts w:ascii="Times New Roman" w:hAnsi="Times New Roman"/>
      </w:rPr>
      <w:fldChar w:fldCharType="separate"/>
    </w:r>
    <w:r>
      <w:rPr>
        <w:sz w:val="16"/>
        <w:rFonts w:ascii="Times New Roman" w:hAnsi="Times New Roman"/>
      </w:rPr>
      <w:t>2</w:t>
    </w:r>
    <w:r>
      <w:rPr>
        <w:sz w:val="16"/>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8"/>
      </w:rPr>
    </w:pPr>
    <w:r>
      <w:rPr>
        <w:sz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val="false"/>
        <w:bidi w:val="0"/>
        <w:ind w:hanging="0" w:start="0" w:end="0"/>
        <w:jc w:val="start"/>
        <w:textAlignment w:val="auto"/>
        <w:rPr/>
      </w:pPr>
      <w:ins w:id="133" w:author="0" w:date="2001-03-23T10:46:00Z">
        <w:r>
          <w:rPr>
            <w:rStyle w:val="FootnoteCharacters"/>
          </w:rPr>
          <w:footnoteRef/>
        </w:r>
      </w:ins>
      <w:ins w:id="134" w:author="0" w:date="2001-03-23T10:46:00Z">
        <w:r>
          <w:rPr>
            <w:rFonts w:ascii="Times New Roman" w:hAnsi="Times New Roman"/>
          </w:rPr>
          <w:t xml:space="preserve">  </w:t>
        </w:r>
      </w:ins>
      <w:ins w:id="135" w:author="0" w:date="2001-03-23T10:46:00Z">
        <w:r>
          <w:rPr>
            <w:rFonts w:ascii="Times New Roman" w:hAnsi="Times New Roman"/>
            <w:sz w:val="16"/>
          </w:rPr>
          <w:t>Insert for hedge funds if credit requests this as an alternative Independent Amount</w:t>
        </w:r>
      </w:ins>
    </w:p>
  </w:footnote>
  <w:footnote w:id="3">
    <w:p>
      <w:pPr>
        <w:pStyle w:val="FootnoteText"/>
        <w:widowControl w:val="false"/>
        <w:bidi w:val="0"/>
        <w:ind w:hanging="0" w:start="0" w:end="0"/>
        <w:jc w:val="start"/>
        <w:textAlignment w:val="auto"/>
        <w:rPr/>
      </w:pPr>
      <w:r>
        <w:rPr>
          <w:rStyle w:val="FootnoteCharacters"/>
        </w:rPr>
        <w:footnoteRef/>
      </w:r>
      <w:r>
        <w:rPr>
          <w:rFonts w:ascii="Times New Roman" w:hAnsi="Times New Roman"/>
          <w:sz w:val="16"/>
        </w:rPr>
        <w:t xml:space="preserve">  </w:t>
      </w:r>
      <w:r>
        <w:rPr>
          <w:rFonts w:ascii="Times New Roman" w:hAnsi="Times New Roman"/>
          <w:sz w:val="16"/>
        </w:rPr>
        <w:t>If two rated guarantors, then delete (i) the phrase “</w:t>
      </w:r>
      <w:r>
        <w:rPr>
          <w:rFonts w:ascii="Times New Roman" w:hAnsi="Times New Roman"/>
          <w:sz w:val="16"/>
          <w:u w:val="single"/>
        </w:rPr>
        <w:t>the party (or</w:t>
      </w:r>
      <w:r>
        <w:rPr>
          <w:rFonts w:ascii="Times New Roman" w:hAnsi="Times New Roman"/>
          <w:sz w:val="16"/>
        </w:rPr>
        <w:t>” and (ii) parenthesis after “</w:t>
      </w:r>
      <w:r>
        <w:rPr>
          <w:rFonts w:ascii="Times New Roman" w:hAnsi="Times New Roman"/>
          <w:sz w:val="16"/>
          <w:u w:val="single"/>
        </w:rPr>
        <w:t>Corp</w:t>
      </w:r>
      <w:r>
        <w:rPr>
          <w:rFonts w:ascii="Times New Roman" w:hAnsi="Times New Roman"/>
          <w:sz w:val="16"/>
        </w:rPr>
        <w:t>.” and (iii) brackets surrounding the phrase “</w:t>
      </w:r>
      <w:r>
        <w:rPr>
          <w:rFonts w:ascii="Times New Roman" w:hAnsi="Times New Roman"/>
          <w:sz w:val="16"/>
          <w:u w:val="single"/>
        </w:rPr>
        <w:t>in the case of Counterparty,                and</w:t>
      </w:r>
      <w:r>
        <w:rPr>
          <w:rFonts w:ascii="Times New Roman" w:hAnsi="Times New Roman"/>
          <w:sz w:val="16"/>
        </w:rPr>
        <w:t>”.</w:t>
      </w:r>
    </w:p>
  </w:footnote>
  <w:footnote w:id="4">
    <w:p>
      <w:pPr>
        <w:pStyle w:val="FootnoteText"/>
        <w:widowControl w:val="false"/>
        <w:bidi w:val="0"/>
        <w:ind w:hanging="0" w:start="0" w:end="0"/>
        <w:jc w:val="start"/>
        <w:textAlignment w:val="auto"/>
        <w:rPr/>
      </w:pPr>
      <w:ins w:id="136" w:author="0" w:date="2001-03-23T10:53:00Z">
        <w:r>
          <w:rPr>
            <w:rStyle w:val="FootnoteCharacters"/>
          </w:rPr>
          <w:footnoteRef/>
        </w:r>
      </w:ins>
      <w:ins w:id="137" w:author="0" w:date="2001-03-23T10:53:00Z">
        <w:r>
          <w:rPr>
            <w:rFonts w:ascii="Times New Roman" w:hAnsi="Times New Roman"/>
            <w:sz w:val="16"/>
          </w:rPr>
          <w:t>Select as appropriate</w:t>
        </w:r>
      </w:ins>
    </w:p>
  </w:footnote>
  <w:footnote w:id="5">
    <w:p>
      <w:pPr>
        <w:pStyle w:val="FootnoteText"/>
        <w:widowControl w:val="false"/>
        <w:bidi w:val="0"/>
        <w:ind w:hanging="0" w:start="0" w:end="0"/>
        <w:jc w:val="start"/>
        <w:textAlignment w:val="auto"/>
        <w:rPr/>
      </w:pPr>
      <w:r>
        <w:rPr>
          <w:rStyle w:val="FootnoteCharacters"/>
        </w:rPr>
        <w:footnoteRef/>
      </w:r>
      <w:r>
        <w:rPr>
          <w:rFonts w:ascii="Times New Roman" w:hAnsi="Times New Roman"/>
          <w:sz w:val="16"/>
        </w:rPr>
        <w:t xml:space="preserve">  </w:t>
      </w:r>
      <w:r>
        <w:rPr>
          <w:rFonts w:ascii="Times New Roman" w:hAnsi="Times New Roman"/>
          <w:sz w:val="16"/>
        </w:rPr>
        <w:t>Leave in if MAC is other than Credit Rating below “BBB-” (e.g. financial covenants).</w:t>
      </w:r>
    </w:p>
  </w:footnote>
  <w:footnote w:id="6">
    <w:p>
      <w:pPr>
        <w:pStyle w:val="FootnoteText"/>
        <w:widowControl w:val="false"/>
        <w:bidi w:val="0"/>
        <w:ind w:hanging="0" w:start="0" w:end="0"/>
        <w:jc w:val="start"/>
        <w:textAlignment w:val="auto"/>
        <w:rPr/>
      </w:pPr>
      <w:r>
        <w:rPr>
          <w:rStyle w:val="FootnoteCharacters"/>
        </w:rPr>
        <w:footnoteRef/>
      </w:r>
      <w:r>
        <w:rPr>
          <w:rFonts w:ascii="Times New Roman" w:hAnsi="Times New Roman"/>
          <w:sz w:val="16"/>
        </w:rPr>
        <w:t xml:space="preserve">  </w:t>
      </w:r>
      <w:r>
        <w:rPr>
          <w:rFonts w:ascii="Times New Roman" w:hAnsi="Times New Roman"/>
          <w:sz w:val="16"/>
        </w:rPr>
        <w:t>Delete entire section if there is no “stairstep” MAC</w:t>
      </w:r>
    </w:p>
  </w:footnote>
  <w:footnote w:id="7">
    <w:p>
      <w:pPr>
        <w:pStyle w:val="FootnoteText"/>
        <w:widowControl w:val="false"/>
        <w:bidi w:val="0"/>
        <w:ind w:hanging="0" w:start="0" w:end="0"/>
        <w:jc w:val="start"/>
        <w:textAlignment w:val="auto"/>
        <w:rPr/>
      </w:pPr>
      <w:ins w:id="138" w:author="0" w:date="2001-03-23T11:19:00Z">
        <w:r>
          <w:rPr>
            <w:rStyle w:val="FootnoteCharacters"/>
          </w:rPr>
          <w:footnoteRef/>
        </w:r>
      </w:ins>
      <w:ins w:id="139" w:author="0" w:date="2001-03-23T11:19:00Z">
        <w:r>
          <w:rPr>
            <w:rFonts w:ascii="Times New Roman" w:hAnsi="Times New Roman"/>
          </w:rPr>
          <w:t xml:space="preserve">  </w:t>
        </w:r>
      </w:ins>
      <w:ins w:id="140" w:author="0" w:date="2001-03-23T11:19:00Z">
        <w:r>
          <w:rPr>
            <w:rFonts w:ascii="Times New Roman" w:hAnsi="Times New Roman"/>
            <w:sz w:val="16"/>
          </w:rPr>
          <w:t>Insert “[X]” (rather than “None”) if Additional Termination Events, per the Schedule, apply to a party</w:t>
        </w:r>
      </w:ins>
    </w:p>
  </w:footnote>
  <w:footnote w:id="8">
    <w:p>
      <w:pPr>
        <w:pStyle w:val="FootnoteText"/>
        <w:widowControl w:val="false"/>
        <w:bidi w:val="0"/>
        <w:ind w:hanging="0" w:start="0" w:end="0"/>
        <w:jc w:val="start"/>
        <w:textAlignment w:val="auto"/>
        <w:rPr/>
      </w:pPr>
      <w:ins w:id="141" w:author="0" w:date="2001-03-23T11:33:00Z">
        <w:r>
          <w:rPr>
            <w:rStyle w:val="FootnoteCharacters"/>
          </w:rPr>
          <w:footnoteRef/>
        </w:r>
      </w:ins>
      <w:ins w:id="142" w:author="0" w:date="2001-03-23T11:33:00Z">
        <w:r>
          <w:rPr>
            <w:rFonts w:ascii="Times New Roman" w:hAnsi="Times New Roman"/>
            <w:sz w:val="16"/>
          </w:rPr>
          <w:t>Insert for paper and pulp and agricultural transactions and in other markets where it is difficult to obtain quotations from a marketmaker (consult w/ derivatives attorney on this point)</w:t>
        </w:r>
      </w:ins>
    </w:p>
  </w:footnote>
  <w:footnote w:id="9">
    <w:p>
      <w:pPr>
        <w:pStyle w:val="FootnoteText"/>
        <w:widowControl w:val="false"/>
        <w:bidi w:val="0"/>
        <w:ind w:hanging="0" w:start="0" w:end="0"/>
        <w:jc w:val="start"/>
        <w:textAlignment w:val="auto"/>
        <w:rPr/>
      </w:pPr>
      <w:r>
        <w:rPr>
          <w:rStyle w:val="FootnoteCharacters"/>
        </w:rPr>
        <w:footnoteRef/>
      </w:r>
      <w:r>
        <w:rPr>
          <w:rFonts w:ascii="Times New Roman" w:hAnsi="Times New Roman"/>
          <w:sz w:val="16"/>
        </w:rPr>
        <w:t>Specify each Eligible Currency chosen, together with the interest rate chosen.</w:t>
      </w:r>
    </w:p>
  </w:footnote>
  <w:footnote w:id="10">
    <w:p>
      <w:pPr>
        <w:pStyle w:val="FootnoteText"/>
        <w:widowControl w:val="false"/>
        <w:bidi w:val="0"/>
        <w:ind w:hanging="0" w:start="0" w:end="0"/>
        <w:jc w:val="start"/>
        <w:textAlignment w:val="auto"/>
        <w:rPr/>
      </w:pPr>
      <w:ins w:id="143" w:author="0" w:date="2001-03-23T12:29:00Z">
        <w:r>
          <w:rPr>
            <w:rStyle w:val="FootnoteCharacters"/>
          </w:rPr>
          <w:footnoteRef/>
        </w:r>
      </w:ins>
      <w:ins w:id="144" w:author="0" w:date="2001-03-23T12:29:00Z">
        <w:r>
          <w:rPr>
            <w:rFonts w:ascii="Times New Roman" w:hAnsi="Times New Roman"/>
            <w:sz w:val="16"/>
          </w:rPr>
          <w:t>Insert only if credit so requests.</w:t>
        </w:r>
      </w:ins>
    </w:p>
  </w:footnote>
  <w:footnote w:id="11">
    <w:p>
      <w:pPr>
        <w:pStyle w:val="FootnoteText"/>
        <w:widowControl w:val="false"/>
        <w:bidi w:val="0"/>
        <w:ind w:hanging="0" w:start="0" w:end="0"/>
        <w:jc w:val="start"/>
        <w:textAlignment w:val="auto"/>
        <w:rPr/>
      </w:pPr>
      <w:ins w:id="145" w:author="0" w:date="2001-03-23T12:32:00Z">
        <w:r>
          <w:rPr>
            <w:rStyle w:val="FootnoteCharacters"/>
          </w:rPr>
          <w:footnoteRef/>
        </w:r>
      </w:ins>
      <w:ins w:id="146" w:author="0" w:date="2001-03-23T12:32:00Z">
        <w:r>
          <w:rPr>
            <w:rFonts w:ascii="Times New Roman" w:hAnsi="Times New Roman"/>
            <w:sz w:val="16"/>
          </w:rPr>
          <w:t>Insert if EURO is selected as an Eligible Currency</w:t>
        </w:r>
      </w:ins>
    </w:p>
  </w:footnote>
  <w:footnote w:id="12">
    <w:p>
      <w:pPr>
        <w:pStyle w:val="FootnoteText"/>
        <w:widowControl w:val="false"/>
        <w:bidi w:val="0"/>
        <w:ind w:hanging="0" w:start="0" w:end="0"/>
        <w:jc w:val="start"/>
        <w:textAlignment w:val="auto"/>
        <w:rPr/>
      </w:pPr>
      <w:r>
        <w:rPr>
          <w:rStyle w:val="FootnoteCharacters"/>
        </w:rPr>
        <w:footnoteRef/>
      </w:r>
      <w:r>
        <w:rPr>
          <w:rFonts w:ascii="Times New Roman" w:hAnsi="Times New Roman"/>
          <w:sz w:val="16"/>
        </w:rPr>
        <w:t xml:space="preserve"> </w:t>
      </w:r>
      <w:r>
        <w:rPr>
          <w:rFonts w:ascii="Times New Roman" w:hAnsi="Times New Roman"/>
          <w:sz w:val="16"/>
        </w:rPr>
        <w:t>Insert if Sterling is being used as an Eligible Currency</w:t>
      </w:r>
    </w:p>
  </w:footnote>
  <w:footnote w:id="13">
    <w:p>
      <w:pPr>
        <w:pStyle w:val="FootnoteText"/>
        <w:widowControl w:val="false"/>
        <w:bidi w:val="0"/>
        <w:ind w:hanging="0" w:start="0" w:end="0"/>
        <w:jc w:val="start"/>
        <w:textAlignment w:val="auto"/>
        <w:rPr/>
      </w:pPr>
      <w:r>
        <w:rPr>
          <w:rStyle w:val="FootnoteCharacters"/>
        </w:rPr>
        <w:footnoteRef/>
      </w:r>
      <w:r>
        <w:rPr>
          <w:rFonts w:ascii="Times New Roman" w:hAnsi="Times New Roman"/>
          <w:sz w:val="16"/>
        </w:rPr>
        <w:t xml:space="preserve"> </w:t>
      </w:r>
      <w:r>
        <w:rPr>
          <w:rFonts w:ascii="Times New Roman" w:hAnsi="Times New Roman"/>
          <w:sz w:val="16"/>
        </w:rPr>
        <w:t>Only insert if Minimum Transfer Amount is material.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lang w:val="en-GB"/>
      </w:rPr>
    </w:pPr>
    <w:r>
      <w:rPr>
        <w:rFonts w:ascii="Times New Roman" w:hAnsi="Times New Roman"/>
        <w:b/>
        <w:lang w:val="en-G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lang w:val="en-GB"/>
      </w:rPr>
    </w:pPr>
    <w:r>
      <w:rPr>
        <w:rFonts w:ascii="Times New Roman" w:hAnsi="Times New Roman"/>
        <w:b/>
        <w:lang w:val="en-GB"/>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420"/>
        </w:tabs>
        <w:ind w:start="420" w:hanging="420"/>
      </w:pPr>
      <w:rPr>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Roman"/>
      <w:lvlText w:val="(%1)"/>
      <w:lvlJc w:val="start"/>
      <w:pPr>
        <w:tabs>
          <w:tab w:val="num" w:pos="1440"/>
        </w:tabs>
        <w:ind w:start="1440" w:hanging="720"/>
      </w:pPr>
      <w:rPr/>
    </w:lvl>
    <w:lvl w:ilvl="1">
      <w:start w:val="1"/>
      <w:numFmt w:val="lowerRoman"/>
      <w:lvlText w:val="(%2)"/>
      <w:lvlJc w:val="start"/>
      <w:pPr>
        <w:tabs>
          <w:tab w:val="num" w:pos="2138"/>
        </w:tabs>
        <w:ind w:start="567" w:firstLine="851"/>
      </w:pPr>
      <w:rPr>
        <w:sz w:val="22"/>
        <w:i w:val="false"/>
        <w:b w:val="false"/>
        <w:rFonts w:ascii="Times New Roman" w:hAnsi="Times New Roman"/>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upperLetter"/>
      <w:lvlText w:val="(%1)"/>
      <w:lvlJc w:val="start"/>
      <w:pPr>
        <w:tabs>
          <w:tab w:val="num" w:pos="1509"/>
        </w:tabs>
        <w:ind w:start="1509" w:hanging="375"/>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1069"/>
        </w:tabs>
        <w:ind w:start="0" w:firstLine="709"/>
      </w:pPr>
      <w:rPr/>
    </w:lvl>
    <w:lvl w:ilvl="1">
      <w:start w:val="1"/>
      <w:numFmt w:val="lowerRoman"/>
      <w:lvlText w:val="(%2)"/>
      <w:lvlJc w:val="start"/>
      <w:pPr>
        <w:tabs>
          <w:tab w:val="num" w:pos="2138"/>
        </w:tabs>
        <w:ind w:start="567" w:firstLine="851"/>
      </w:pPr>
      <w:rPr>
        <w:sz w:val="22"/>
        <w:i w:val="false"/>
        <w:b w:val="false"/>
        <w:rFonts w:ascii="Times New Roman" w:hAnsi="Times New Roman"/>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7"/>
  <w:trackRevisions/>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Arial" w:hAnsi="Arial" w:eastAsia="Dutch Roman   Roman 8) (FW, Por" w:cs="Times New Roman"/>
      <w:color w:val="auto"/>
      <w:kern w:val="2"/>
      <w:sz w:val="20"/>
      <w:szCs w:val="24"/>
      <w:lang w:val="en-US" w:eastAsia="en-US" w:bidi="hi-IN"/>
    </w:rPr>
  </w:style>
  <w:style w:type="paragraph" w:styleId="Heading1">
    <w:name w:val="heading 1"/>
    <w:basedOn w:val="Normal"/>
    <w:qFormat/>
    <w:pPr>
      <w:keepNext w:val="true"/>
      <w:widowControl w:val="false"/>
      <w:spacing w:before="240" w:after="480"/>
      <w:ind w:hanging="0" w:start="0" w:end="0"/>
      <w:jc w:val="center"/>
      <w:textAlignment w:val="auto"/>
    </w:pPr>
    <w:rPr>
      <w:rFonts w:ascii="Arial" w:hAnsi="Arial"/>
      <w:b/>
      <w:caps/>
      <w:sz w:val="22"/>
      <w:lang w:val="en-US" w:eastAsia="en-US"/>
    </w:rPr>
  </w:style>
  <w:style w:type="paragraph" w:styleId="Heading2">
    <w:name w:val="heading 2"/>
    <w:basedOn w:val="Normal"/>
    <w:qFormat/>
    <w:pPr>
      <w:widowControl w:val="false"/>
      <w:spacing w:before="0" w:after="240"/>
      <w:ind w:firstLine="720" w:start="0" w:end="0"/>
      <w:jc w:val="both"/>
      <w:textAlignment w:val="auto"/>
    </w:pPr>
    <w:rPr>
      <w:rFonts w:ascii="Arial" w:hAnsi="Arial"/>
      <w:sz w:val="22"/>
      <w:lang w:val="en-US" w:eastAsia="en-US"/>
    </w:rPr>
  </w:style>
  <w:style w:type="paragraph" w:styleId="Heading3">
    <w:name w:val="heading 3"/>
    <w:basedOn w:val="Normal"/>
    <w:qFormat/>
    <w:pPr>
      <w:widowControl w:val="false"/>
      <w:ind w:hanging="0" w:start="360" w:end="0"/>
      <w:jc w:val="start"/>
      <w:textAlignment w:val="auto"/>
    </w:pPr>
    <w:rPr>
      <w:rFonts w:ascii="Arial" w:hAnsi="Arial"/>
      <w:b/>
      <w:sz w:val="24"/>
      <w:lang w:val="en-US" w:eastAsia="en-US"/>
    </w:rPr>
  </w:style>
  <w:style w:type="paragraph" w:styleId="Heading4">
    <w:name w:val="heading 4"/>
    <w:basedOn w:val="Heading1"/>
    <w:qFormat/>
    <w:pPr>
      <w:keepNext w:val="true"/>
      <w:widowControl w:val="false"/>
      <w:spacing w:before="240" w:after="480"/>
      <w:ind w:hanging="0" w:start="1440" w:end="1440"/>
      <w:jc w:val="both"/>
      <w:textAlignment w:val="auto"/>
      <w:outlineLvl w:val="0"/>
    </w:pPr>
    <w:rPr>
      <w:rFonts w:ascii="Arial" w:hAnsi="Arial"/>
      <w:sz w:val="22"/>
      <w:lang w:val="en-US" w:eastAsia="en-US"/>
    </w:rPr>
  </w:style>
  <w:style w:type="paragraph" w:styleId="Heading5">
    <w:name w:val="heading 5"/>
    <w:basedOn w:val="Normal"/>
    <w:qFormat/>
    <w:pPr>
      <w:widowControl w:val="false"/>
      <w:ind w:hanging="0" w:start="720" w:end="0"/>
      <w:jc w:val="start"/>
      <w:textAlignment w:val="auto"/>
    </w:pPr>
    <w:rPr>
      <w:rFonts w:ascii="Arial" w:hAnsi="Arial"/>
      <w:b/>
      <w:sz w:val="20"/>
      <w:lang w:val="en-US" w:eastAsia="en-US"/>
    </w:rPr>
  </w:style>
  <w:style w:type="paragraph" w:styleId="Heading6">
    <w:name w:val="heading 6"/>
    <w:basedOn w:val="Normal"/>
    <w:qFormat/>
    <w:pPr>
      <w:widowControl w:val="false"/>
      <w:spacing w:before="0" w:after="120"/>
      <w:ind w:hanging="0" w:start="1440" w:end="1440"/>
      <w:jc w:val="both"/>
      <w:textAlignment w:val="auto"/>
    </w:pPr>
    <w:rPr>
      <w:rFonts w:ascii="Arial" w:hAnsi="Arial"/>
      <w:sz w:val="22"/>
      <w:lang w:val="en-US" w:eastAsia="en-US"/>
    </w:rPr>
  </w:style>
  <w:style w:type="paragraph" w:styleId="Heading7">
    <w:name w:val="heading 7"/>
    <w:basedOn w:val="Normal"/>
    <w:qFormat/>
    <w:pPr>
      <w:widowControl w:val="false"/>
      <w:spacing w:before="0" w:after="240"/>
      <w:ind w:hanging="720" w:start="2160" w:end="0"/>
      <w:jc w:val="both"/>
      <w:textAlignment w:val="auto"/>
    </w:pPr>
    <w:rPr>
      <w:rFonts w:ascii="Arial" w:hAnsi="Arial"/>
      <w:sz w:val="22"/>
      <w:lang w:val="en-US" w:eastAsia="en-US"/>
    </w:rPr>
  </w:style>
  <w:style w:type="paragraph" w:styleId="Heading8">
    <w:name w:val="heading 8"/>
    <w:basedOn w:val="Normal"/>
    <w:qFormat/>
    <w:pPr>
      <w:widowControl w:val="false"/>
      <w:spacing w:before="0" w:after="240"/>
      <w:ind w:hanging="720" w:start="2880" w:end="0"/>
      <w:jc w:val="both"/>
      <w:textAlignment w:val="auto"/>
    </w:pPr>
    <w:rPr>
      <w:rFonts w:ascii="Arial" w:hAnsi="Arial"/>
      <w:sz w:val="22"/>
      <w:lang w:val="en-US" w:eastAsia="en-US"/>
    </w:rPr>
  </w:style>
  <w:style w:type="paragraph" w:styleId="Heading9">
    <w:name w:val="heading 9"/>
    <w:basedOn w:val="Normal"/>
    <w:qFormat/>
    <w:pPr>
      <w:widowControl w:val="false"/>
      <w:ind w:hanging="0" w:start="720" w:end="0"/>
      <w:jc w:val="start"/>
      <w:textAlignment w:val="auto"/>
    </w:pPr>
    <w:rPr>
      <w:rFonts w:ascii="Arial" w:hAnsi="Arial"/>
      <w:i/>
      <w:sz w:val="20"/>
      <w:lang w:val="en-US" w:eastAsia="en-US"/>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LineNumber">
    <w:name w:val="line number"/>
    <w:basedOn w:val="DefaultParagraphFont"/>
    <w:rPr>
      <w:sz w:val="20"/>
    </w:rPr>
  </w:style>
  <w:style w:type="character" w:styleId="FootnoteCharacters">
    <w:name w:val="Footnote Characters"/>
    <w:basedOn w:val="DefaultParagraphFont"/>
    <w:qFormat/>
    <w:rPr>
      <w:rFonts w:ascii="Arial" w:hAnsi="Arial"/>
      <w:sz w:val="16"/>
      <w:vertAlign w:val="superscript"/>
    </w:rPr>
  </w:style>
  <w:style w:type="character" w:styleId="FootnoteReference">
    <w:name w:val="footnote reference"/>
    <w:rPr>
      <w:rFonts w:ascii="Arial" w:hAnsi="Arial"/>
      <w:sz w:val="16"/>
      <w:vertAlign w:val="superscript"/>
    </w:rPr>
  </w:style>
  <w:style w:type="character" w:styleId="PageNumber">
    <w:name w:val="page number"/>
    <w:basedOn w:val="DefaultParagraphFont"/>
    <w:rPr>
      <w:rFonts w:ascii="Arial" w:hAnsi="Arial"/>
      <w:sz w:val="20"/>
    </w:rPr>
  </w:style>
  <w:style w:type="paragraph" w:styleId="Heading">
    <w:name w:val="Heading"/>
    <w:basedOn w:val="Normal"/>
    <w:next w:val="BodyText"/>
    <w:qFormat/>
    <w:pPr>
      <w:widowControl w:val="false"/>
      <w:ind w:hanging="0" w:start="0" w:end="0"/>
      <w:jc w:val="center"/>
      <w:textAlignment w:val="auto"/>
    </w:pPr>
    <w:rPr>
      <w:rFonts w:ascii="Dutch Roman   Roman 8) (FW, Por" w:hAnsi="Dutch Roman   Roman 8) (FW, Por"/>
      <w:sz w:val="24"/>
      <w:lang w:val="en-US"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ind w:hanging="0" w:start="720" w:end="0"/>
      <w:jc w:val="start"/>
      <w:textAlignment w:val="auto"/>
    </w:pPr>
    <w:rPr>
      <w:rFonts w:ascii="Arial" w:hAnsi="Arial"/>
      <w:sz w:val="20"/>
      <w:lang w:val="en-US" w:eastAsia="en-US"/>
    </w:rPr>
  </w:style>
  <w:style w:type="paragraph" w:styleId="TOC7">
    <w:name w:val="toc 7"/>
    <w:basedOn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Arial" w:hAnsi="Arial"/>
      <w:sz w:val="22"/>
      <w:lang w:val="en-US" w:eastAsia="en-US"/>
    </w:rPr>
  </w:style>
  <w:style w:type="paragraph" w:styleId="TOC6">
    <w:name w:val="toc 6"/>
    <w:basedOn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Arial" w:hAnsi="Arial"/>
      <w:sz w:val="22"/>
      <w:lang w:val="en-US" w:eastAsia="en-US"/>
    </w:rPr>
  </w:style>
  <w:style w:type="paragraph" w:styleId="TOC5">
    <w:name w:val="toc 5"/>
    <w:basedOn w:val="Normal"/>
    <w:next w:val="Normal"/>
    <w:autoRedefine/>
    <w:pPr>
      <w:widowControl w:val="false"/>
      <w:tabs>
        <w:tab w:val="clear" w:pos="720"/>
        <w:tab w:val="left" w:pos="8280" w:leader="dot"/>
        <w:tab w:val="right" w:pos="8640" w:leader="none"/>
      </w:tabs>
      <w:ind w:hanging="0" w:start="2880" w:end="720"/>
      <w:jc w:val="start"/>
      <w:textAlignment w:val="auto"/>
    </w:pPr>
    <w:rPr>
      <w:rFonts w:ascii="Arial" w:hAnsi="Arial"/>
      <w:sz w:val="20"/>
      <w:lang w:val="en-US" w:eastAsia="en-US"/>
    </w:rPr>
  </w:style>
  <w:style w:type="paragraph" w:styleId="TOC4">
    <w:name w:val="toc 4"/>
    <w:basedOn w:val="Normal"/>
    <w:next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Arial" w:hAnsi="Arial"/>
      <w:sz w:val="22"/>
      <w:lang w:val="en-US" w:eastAsia="en-US"/>
    </w:rPr>
  </w:style>
  <w:style w:type="paragraph" w:styleId="TOC3">
    <w:name w:val="toc 3"/>
    <w:basedOn w:val="Normal"/>
    <w:next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Arial" w:hAnsi="Arial"/>
      <w:sz w:val="22"/>
      <w:lang w:val="en-US" w:eastAsia="en-US"/>
    </w:rPr>
  </w:style>
  <w:style w:type="paragraph" w:styleId="TOC2">
    <w:name w:val="toc 2"/>
    <w:basedOn w:val="Normal"/>
    <w:next w:val="Normal"/>
    <w:autoRedefine/>
    <w:pPr>
      <w:widowControl w:val="false"/>
      <w:tabs>
        <w:tab w:val="clear" w:pos="720"/>
        <w:tab w:val="left" w:pos="8280" w:leader="dot"/>
        <w:tab w:val="right" w:pos="8640" w:leader="none"/>
      </w:tabs>
      <w:ind w:hanging="0" w:start="0" w:end="720"/>
      <w:jc w:val="start"/>
      <w:textAlignment w:val="auto"/>
    </w:pPr>
    <w:rPr>
      <w:rFonts w:ascii="Arial" w:hAnsi="Arial"/>
      <w:sz w:val="22"/>
      <w:lang w:val="en-US" w:eastAsia="en-US"/>
    </w:rPr>
  </w:style>
  <w:style w:type="paragraph" w:styleId="TOC1">
    <w:name w:val="toc 1"/>
    <w:basedOn w:val="Normal"/>
    <w:next w:val="Normal"/>
    <w:autoRedefine/>
    <w:pPr>
      <w:widowControl w:val="false"/>
      <w:tabs>
        <w:tab w:val="left" w:pos="720" w:leader="none"/>
        <w:tab w:val="left" w:pos="8280" w:leader="dot"/>
        <w:tab w:val="right" w:pos="8640" w:leader="none"/>
      </w:tabs>
      <w:ind w:hanging="0" w:start="0" w:end="720"/>
      <w:jc w:val="start"/>
      <w:textAlignment w:val="auto"/>
    </w:pPr>
    <w:rPr>
      <w:rFonts w:ascii="Arial" w:hAnsi="Arial"/>
      <w:caps/>
      <w:sz w:val="22"/>
      <w:lang w:val="en-US" w:eastAsia="en-US"/>
    </w:rPr>
  </w:style>
  <w:style w:type="paragraph" w:styleId="Index7">
    <w:name w:val="index 7"/>
    <w:basedOn w:val="Normal"/>
    <w:next w:val="Normal"/>
    <w:autoRedefine/>
    <w:qFormat/>
    <w:pPr>
      <w:widowControl w:val="false"/>
      <w:ind w:hanging="0" w:start="2160" w:end="0"/>
      <w:jc w:val="start"/>
      <w:textAlignment w:val="auto"/>
    </w:pPr>
    <w:rPr>
      <w:rFonts w:ascii="Arial" w:hAnsi="Arial"/>
      <w:sz w:val="20"/>
      <w:lang w:val="en-US" w:eastAsia="en-US"/>
    </w:rPr>
  </w:style>
  <w:style w:type="paragraph" w:styleId="Index6">
    <w:name w:val="index 6"/>
    <w:basedOn w:val="Normal"/>
    <w:next w:val="Normal"/>
    <w:autoRedefine/>
    <w:qFormat/>
    <w:pPr>
      <w:widowControl w:val="false"/>
      <w:ind w:hanging="0" w:start="1800" w:end="0"/>
      <w:jc w:val="start"/>
      <w:textAlignment w:val="auto"/>
    </w:pPr>
    <w:rPr>
      <w:rFonts w:ascii="Arial" w:hAnsi="Arial"/>
      <w:sz w:val="20"/>
      <w:lang w:val="en-US" w:eastAsia="en-US"/>
    </w:rPr>
  </w:style>
  <w:style w:type="paragraph" w:styleId="Index5">
    <w:name w:val="index 5"/>
    <w:basedOn w:val="Normal"/>
    <w:next w:val="Normal"/>
    <w:autoRedefine/>
    <w:qFormat/>
    <w:pPr>
      <w:widowControl w:val="false"/>
      <w:ind w:hanging="0" w:start="1440" w:end="0"/>
      <w:jc w:val="start"/>
      <w:textAlignment w:val="auto"/>
    </w:pPr>
    <w:rPr>
      <w:rFonts w:ascii="Arial" w:hAnsi="Arial"/>
      <w:sz w:val="20"/>
      <w:lang w:val="en-US" w:eastAsia="en-US"/>
    </w:rPr>
  </w:style>
  <w:style w:type="paragraph" w:styleId="Index4">
    <w:name w:val="index 4"/>
    <w:basedOn w:val="Normal"/>
    <w:next w:val="Normal"/>
    <w:autoRedefine/>
    <w:qFormat/>
    <w:pPr>
      <w:widowControl w:val="false"/>
      <w:ind w:hanging="0" w:start="1080" w:end="0"/>
      <w:jc w:val="start"/>
      <w:textAlignment w:val="auto"/>
    </w:pPr>
    <w:rPr>
      <w:rFonts w:ascii="Arial" w:hAnsi="Arial"/>
      <w:sz w:val="20"/>
      <w:lang w:val="en-US" w:eastAsia="en-US"/>
    </w:rPr>
  </w:style>
  <w:style w:type="paragraph" w:styleId="Index3">
    <w:name w:val="index 3"/>
    <w:basedOn w:val="Normal"/>
    <w:next w:val="Normal"/>
    <w:autoRedefine/>
    <w:pPr>
      <w:widowControl w:val="false"/>
      <w:ind w:hanging="0" w:start="720" w:end="0"/>
      <w:jc w:val="start"/>
      <w:textAlignment w:val="auto"/>
    </w:pPr>
    <w:rPr>
      <w:rFonts w:ascii="Arial" w:hAnsi="Arial"/>
      <w:sz w:val="20"/>
      <w:lang w:val="en-US" w:eastAsia="en-US"/>
    </w:rPr>
  </w:style>
  <w:style w:type="paragraph" w:styleId="Index2">
    <w:name w:val="index 2"/>
    <w:basedOn w:val="Normal"/>
    <w:next w:val="Normal"/>
    <w:autoRedefine/>
    <w:pPr>
      <w:widowControl w:val="false"/>
      <w:ind w:hanging="0" w:start="360" w:end="0"/>
      <w:jc w:val="start"/>
      <w:textAlignment w:val="auto"/>
    </w:pPr>
    <w:rPr>
      <w:rFonts w:ascii="Arial" w:hAnsi="Arial"/>
      <w:sz w:val="20"/>
      <w:lang w:val="en-US" w:eastAsia="en-US"/>
    </w:rPr>
  </w:style>
  <w:style w:type="paragraph" w:styleId="Index1">
    <w:name w:val="index 1"/>
    <w:basedOn w:val="Normal"/>
    <w:next w:val="Normal"/>
    <w:autoRedefine/>
    <w:pPr>
      <w:widowControl w:val="false"/>
      <w:ind w:hanging="0" w:start="0" w:end="0"/>
      <w:jc w:val="start"/>
      <w:textAlignment w:val="auto"/>
    </w:pPr>
    <w:rPr>
      <w:rFonts w:ascii="Arial" w:hAnsi="Arial"/>
      <w:sz w:val="20"/>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Arial" w:hAnsi="Arial"/>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Arial" w:hAnsi="Arial"/>
      <w:sz w:val="20"/>
      <w:lang w:val="en-US" w:eastAsia="en-US"/>
    </w:rPr>
  </w:style>
  <w:style w:type="paragraph" w:styleId="FootnoteText">
    <w:name w:val="footnote text"/>
    <w:basedOn w:val="Normal"/>
    <w:pPr>
      <w:widowControl w:val="false"/>
      <w:ind w:hanging="0" w:start="0" w:end="0"/>
      <w:jc w:val="start"/>
      <w:textAlignment w:val="auto"/>
    </w:pPr>
    <w:rPr>
      <w:rFonts w:ascii="Arial" w:hAnsi="Arial"/>
      <w:sz w:val="20"/>
      <w:lang w:val="en-US" w:eastAsia="en-US"/>
    </w:rPr>
  </w:style>
  <w:style w:type="paragraph" w:styleId="Hidden">
    <w:name w:val="Hidden"/>
    <w:basedOn w:val="Normal"/>
    <w:next w:val="Normal"/>
    <w:qFormat/>
    <w:pPr>
      <w:widowControl w:val="false"/>
      <w:ind w:hanging="0" w:start="0" w:end="0"/>
      <w:jc w:val="start"/>
      <w:textAlignment w:val="auto"/>
    </w:pPr>
    <w:rPr>
      <w:rFonts w:ascii="Arial" w:hAnsi="Arial"/>
      <w:vanish/>
      <w:color w:val="FF0000"/>
      <w:sz w:val="22"/>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rFonts w:ascii="Arial" w:hAnsi="Arial"/>
      <w:b/>
      <w:caps/>
      <w:spacing w:val="60"/>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DocInit">
    <w:name w:val="Doc Init"/>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TechInit">
    <w:name w:val="Tech Init"/>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Technical">
    <w:name w:val="Technical"/>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HIGHLIGHT2">
    <w:name w:val="HIGHLIGHT 2"/>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HIGHLIGHT3">
    <w:name w:val="HIGHLIGHT 3"/>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LETTERHEAD">
    <w:name w:val="LETTERHEAD"/>
    <w:basedOn w:val="Normal"/>
    <w:qFormat/>
    <w:pPr>
      <w:widowControl w:val="false"/>
      <w:ind w:hanging="0" w:start="0" w:end="0"/>
      <w:jc w:val="center"/>
      <w:textAlignment w:val="auto"/>
    </w:pPr>
    <w:rPr>
      <w:rFonts w:ascii="Dutch Roman   Roman 8) (FW, Por" w:hAnsi="Dutch Roman   Roman 8) (FW, Por"/>
      <w:sz w:val="24"/>
      <w:lang w:val="en-US" w:eastAsia="en-US"/>
    </w:rPr>
  </w:style>
  <w:style w:type="paragraph" w:styleId="INVOICEFEE">
    <w:name w:val="INVOICE FEE"/>
    <w:basedOn w:val="Normal"/>
    <w:qFormat/>
    <w:pPr>
      <w:widowControl w:val="false"/>
      <w:tabs>
        <w:tab w:val="clear" w:pos="720"/>
        <w:tab w:val="left" w:pos="432" w:leader="none"/>
        <w:tab w:val="left" w:pos="1152" w:leader="none"/>
        <w:tab w:val="decimal" w:pos="9864" w:leader="none"/>
      </w:tabs>
      <w:ind w:hanging="0" w:start="0" w:end="0"/>
      <w:jc w:val="start"/>
      <w:textAlignment w:val="auto"/>
    </w:pPr>
    <w:rPr>
      <w:rFonts w:ascii="Dutch Roman   Roman 8) (FW, Por" w:hAnsi="Dutch Roman   Roman 8) (FW, Por"/>
      <w:sz w:val="24"/>
      <w:lang w:val="en-US" w:eastAsia="en-US"/>
    </w:rPr>
  </w:style>
  <w:style w:type="paragraph" w:styleId="MEMORANDUM">
    <w:name w:val="MEMORANDUM"/>
    <w:basedOn w:val="Normal"/>
    <w:qFormat/>
    <w:pPr>
      <w:widowControl w:val="false"/>
      <w:ind w:hanging="0" w:start="0" w:end="0"/>
      <w:jc w:val="center"/>
      <w:textAlignment w:val="auto"/>
    </w:pPr>
    <w:rPr>
      <w:rFonts w:ascii="Dutch Roman   Roman 8) (FW, Por" w:hAnsi="Dutch Roman   Roman 8) (FW, Por"/>
      <w:sz w:val="24"/>
      <w:lang w:val="en-US" w:eastAsia="en-US"/>
    </w:rPr>
  </w:style>
  <w:style w:type="paragraph" w:styleId="INVOICEEXP">
    <w:name w:val="INVOICE EXP"/>
    <w:basedOn w:val="Normal"/>
    <w:qFormat/>
    <w:pPr>
      <w:widowControl w:val="false"/>
      <w:tabs>
        <w:tab w:val="clear" w:pos="720"/>
        <w:tab w:val="left" w:pos="432" w:leader="none"/>
        <w:tab w:val="left" w:pos="1152" w:leader="none"/>
        <w:tab w:val="decimal" w:pos="9864" w:leader="none"/>
      </w:tabs>
      <w:ind w:hanging="0" w:start="0" w:end="0"/>
      <w:jc w:val="start"/>
      <w:textAlignment w:val="auto"/>
    </w:pPr>
    <w:rPr>
      <w:rFonts w:ascii="Dutch Roman   Roman 8) (FW, Por" w:hAnsi="Dutch Roman   Roman 8) (FW, Por"/>
      <w:sz w:val="24"/>
      <w:lang w:val="en-US" w:eastAsia="en-US"/>
    </w:rPr>
  </w:style>
  <w:style w:type="paragraph" w:styleId="INVOICETOT">
    <w:name w:val="INVOICE TOT"/>
    <w:basedOn w:val="Normal"/>
    <w:qFormat/>
    <w:pPr>
      <w:widowControl w:val="false"/>
      <w:tabs>
        <w:tab w:val="clear" w:pos="720"/>
        <w:tab w:val="left" w:pos="432" w:leader="none"/>
        <w:tab w:val="left" w:pos="1152" w:leader="none"/>
        <w:tab w:val="decimal" w:pos="9864" w:leader="none"/>
      </w:tabs>
      <w:ind w:hanging="0" w:start="0" w:end="0"/>
      <w:jc w:val="start"/>
      <w:textAlignment w:val="auto"/>
    </w:pPr>
    <w:rPr>
      <w:rFonts w:ascii="Dutch Roman   Roman 8) (FW, Por" w:hAnsi="Dutch Roman   Roman 8) (FW, Por"/>
      <w:sz w:val="24"/>
      <w:lang w:val="en-US" w:eastAsia="en-US"/>
    </w:rPr>
  </w:style>
  <w:style w:type="paragraph" w:styleId="INVOICEHEAD">
    <w:name w:val="INVOICE HEAD"/>
    <w:basedOn w:val="Normal"/>
    <w:qFormat/>
    <w:pPr>
      <w:widowControl w:val="false"/>
      <w:tabs>
        <w:tab w:val="clear" w:pos="720"/>
        <w:tab w:val="left" w:pos="4680" w:leader="none"/>
      </w:tabs>
      <w:ind w:hanging="0" w:start="0" w:end="0"/>
      <w:jc w:val="center"/>
      <w:textAlignment w:val="auto"/>
    </w:pPr>
    <w:rPr>
      <w:rFonts w:ascii="Dutch Roman   Roman 8) (FW, Por" w:hAnsi="Dutch Roman   Roman 8) (FW, Por"/>
      <w:sz w:val="24"/>
      <w:lang w:val="en-US" w:eastAsia="en-US"/>
    </w:rPr>
  </w:style>
  <w:style w:type="paragraph" w:styleId="SMALL">
    <w:name w:val="SMALL"/>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FINE">
    <w:name w:val="FINE"/>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LARGE">
    <w:name w:val="LARGE"/>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EXTRALARGE">
    <w:name w:val="EXTRA LARGE"/>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VERYLARGE">
    <w:name w:val="VERY LARGE"/>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ENVELOPE">
    <w:name w:val="ENVELOPE"/>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RightPar">
    <w:name w:val="Right Par"/>
    <w:basedOn w:val="Normal"/>
    <w:qFormat/>
    <w:pPr>
      <w:widowControl w:val="false"/>
      <w:ind w:firstLine="720" w:start="0" w:end="0"/>
      <w:jc w:val="start"/>
      <w:textAlignment w:val="auto"/>
    </w:pPr>
    <w:rPr>
      <w:rFonts w:ascii="Dutch Roman   Roman 8) (FW, Por" w:hAnsi="Dutch Roman   Roman 8) (FW, Por"/>
      <w:sz w:val="24"/>
      <w:lang w:val="en-US" w:eastAsia="en-US"/>
    </w:rPr>
  </w:style>
  <w:style w:type="paragraph" w:styleId="Bibliogrphy">
    <w:name w:val="Bibliogrphy"/>
    <w:basedOn w:val="Normal"/>
    <w:qFormat/>
    <w:pPr>
      <w:widowControl w:val="false"/>
      <w:ind w:firstLine="720" w:start="720" w:end="0"/>
      <w:jc w:val="start"/>
      <w:textAlignment w:val="auto"/>
    </w:pPr>
    <w:rPr>
      <w:rFonts w:ascii="Dutch Roman   Roman 8) (FW, Por" w:hAnsi="Dutch Roman   Roman 8) (FW, Por"/>
      <w:sz w:val="24"/>
      <w:lang w:val="en-US" w:eastAsia="en-US"/>
    </w:rPr>
  </w:style>
  <w:style w:type="paragraph" w:styleId="Subheading">
    <w:name w:val="Subheading"/>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Pleading">
    <w:name w:val="Pleading"/>
    <w:basedOn w:val="Normal"/>
    <w:qFormat/>
    <w:pPr>
      <w:widowControl w:val="false"/>
      <w:tabs>
        <w:tab w:val="clear" w:pos="720"/>
        <w:tab w:val="right" w:pos="288" w:leader="none"/>
      </w:tabs>
      <w:ind w:hanging="0" w:start="0" w:end="0"/>
      <w:jc w:val="start"/>
      <w:textAlignment w:val="auto"/>
    </w:pPr>
    <w:rPr>
      <w:rFonts w:ascii="Dutch Roman   Roman 8) (FW, Por" w:hAnsi="Dutch Roman   Roman 8) (FW, Por"/>
      <w:sz w:val="24"/>
      <w:lang w:val="en-US" w:eastAsia="en-US"/>
    </w:rPr>
  </w:style>
  <w:style w:type="paragraph" w:styleId="Document">
    <w:name w:val="Document"/>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Title">
    <w:name w:val="Title"/>
    <w:basedOn w:val="Normal"/>
    <w:next w:val="Normal"/>
    <w:qFormat/>
    <w:pPr>
      <w:widowControl w:val="false"/>
      <w:spacing w:before="0" w:after="240"/>
      <w:ind w:hanging="0" w:start="0" w:end="0"/>
      <w:jc w:val="center"/>
      <w:textAlignment w:val="auto"/>
    </w:pPr>
    <w:rPr>
      <w:rFonts w:ascii="Arial" w:hAnsi="Arial"/>
      <w:b/>
      <w:sz w:val="28"/>
      <w:u w:val="single"/>
      <w:lang w:val="en-US" w:eastAsia="en-US"/>
    </w:rPr>
  </w:style>
  <w:style w:type="paragraph" w:styleId="BodyText2">
    <w:name w:val="Body Text 2"/>
    <w:basedOn w:val="Normal"/>
    <w:qFormat/>
    <w:pPr>
      <w:widowControl/>
      <w:tabs>
        <w:tab w:val="clear" w:pos="720"/>
        <w:tab w:val="left" w:pos="1440" w:leader="none"/>
      </w:tabs>
      <w:spacing w:before="240" w:after="0"/>
      <w:ind w:hanging="0" w:start="720" w:end="0"/>
      <w:jc w:val="both"/>
      <w:textAlignment w:val="auto"/>
    </w:pPr>
    <w:rPr>
      <w:rFonts w:ascii="Arial" w:hAnsi="Arial"/>
      <w:sz w:val="22"/>
      <w:lang w:val="en-US" w:eastAsia="en-US"/>
    </w:rPr>
  </w:style>
  <w:style w:type="paragraph" w:styleId="BodyTextIndent2">
    <w:name w:val="Body Text Indent 2"/>
    <w:basedOn w:val="Normal"/>
    <w:qFormat/>
    <w:pPr>
      <w:widowControl/>
      <w:ind w:hanging="0" w:start="709" w:end="0"/>
      <w:jc w:val="both"/>
      <w:textAlignment w:val="auto"/>
    </w:pPr>
    <w:rPr>
      <w:rFonts w:ascii="Arial" w:hAnsi="Arial"/>
      <w:sz w:val="22"/>
      <w:lang w:val="en-US" w:eastAsia="en-US"/>
    </w:rPr>
  </w:style>
  <w:style w:type="paragraph" w:styleId="BodyTextIndent3">
    <w:name w:val="Body Text Indent 3"/>
    <w:basedOn w:val="Normal"/>
    <w:qFormat/>
    <w:pPr>
      <w:widowControl/>
      <w:ind w:hanging="709" w:start="709" w:end="0"/>
      <w:jc w:val="both"/>
      <w:textAlignment w:val="auto"/>
    </w:pPr>
    <w:rPr>
      <w:rFonts w:ascii="Arial" w:hAnsi="Arial"/>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LibreOffice_project/c3912edc4c615b55f2051310c417e592ac3ce905</Application>
  <AppVersion>15.0000</AppVersion>
  <Pages>99</Pages>
  <Words>3337</Words>
  <Characters>0</Characters>
  <CharactersWithSpaces>19026</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2001-03-23T10:19:00Z</dcterms:created>
  <dc:creator>Edmund Cooper</dc:creator>
  <dc:description/>
  <dc:language>en-US</dc:language>
  <cp:lastModifiedBy/>
  <cp:lastPrinted>2001-01-03T09:25:00Z</cp:lastPrinted>
  <dcterms:modified xsi:type="dcterms:W3CDTF">2001-03-23T15:47:00Z</dcterms:modified>
  <cp:revision>38</cp:revision>
  <dc:subject/>
  <dc:title>UK Credit Support Annex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rbruce2</vt:lpwstr>
  </property>
</Properties>
</file>