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t>[ECT Letterhead]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u w:val="single"/>
        </w:rPr>
      </w:pPr>
      <w:r>
        <w:rPr>
          <w:b/>
          <w:bCs/>
          <w:u w:val="single"/>
        </w:rPr>
        <w:t>CONFIRMATION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w:t>
        <w:tab/>
        <w:tab/>
        <w:t xml:space="preserve">October </w:t>
      </w:r>
      <w:r>
        <w:rPr>
          <w:u w:val="single"/>
        </w:rPr>
        <w:t xml:space="preserve">      </w:t>
      </w:r>
      <w:r>
        <w:rPr/>
        <w:t>, 1998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w:t>
        <w:tab/>
        <w:tab/>
        <w:t>Bijupirá-Salema Development Company Ltd. (</w:t>
      </w:r>
      <w:r>
        <w:rPr>
          <w:rFonts w:eastAsia="WP TypographicSymbols;Symbol" w:cs="WP TypographicSymbols;Symbol" w:ascii="WP TypographicSymbols;Symbol" w:hAnsi="WP TypographicSymbols;Symbol"/>
        </w:rPr>
        <w:sym w:font="WP TypographicSymbols;Symbol" w:char="f041"/>
      </w:r>
      <w:r>
        <w:rPr/>
        <w:t>Counterparty</w:t>
      </w:r>
      <w:r>
        <w:rPr>
          <w:rFonts w:eastAsia="WP TypographicSymbols;Symbol" w:cs="WP TypographicSymbols;Symbol" w:ascii="WP TypographicSymbols;Symbol" w:hAnsi="WP TypographicSymbols;Symbol"/>
        </w:rPr>
        <w:sym w:font="WP TypographicSymbols;Symbol" w:char="f040"/>
      </w:r>
      <w:r>
        <w:rPr/>
        <w:t>) (</w:t>
      </w:r>
      <w:r>
        <w:rPr>
          <w:rFonts w:eastAsia="WP TypographicSymbols;Symbol" w:cs="WP TypographicSymbols;Symbol" w:ascii="WP TypographicSymbols;Symbol" w:hAnsi="WP TypographicSymbols;Symbol"/>
        </w:rPr>
        <w:sym w:font="WP TypographicSymbols;Symbol" w:char="f041"/>
      </w:r>
      <w:r>
        <w:rPr/>
        <w:t>Party B</w:t>
      </w:r>
      <w:r>
        <w:rPr>
          <w:rFonts w:eastAsia="WP TypographicSymbols;Symbol" w:cs="WP TypographicSymbols;Symbol" w:ascii="WP TypographicSymbols;Symbol" w:hAnsi="WP TypographicSymbols;Symbol"/>
        </w:rPr>
        <w:sym w:font="WP TypographicSymbols;Symbol" w:char="f040"/>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From:</w:t>
        <w:tab/>
        <w:tab/>
        <w:t>Enron Capital &amp; Trade Finance Corp. (</w:t>
      </w:r>
      <w:r>
        <w:rPr>
          <w:rFonts w:eastAsia="WP TypographicSymbols;Symbol" w:cs="WP TypographicSymbols;Symbol" w:ascii="WP TypographicSymbols;Symbol" w:hAnsi="WP TypographicSymbols;Symbol"/>
        </w:rPr>
        <w:sym w:font="WP TypographicSymbols;Symbol" w:char="f041"/>
      </w:r>
      <w:r>
        <w:rPr/>
        <w:t>ECT) (</w:t>
      </w:r>
      <w:r>
        <w:rPr>
          <w:rFonts w:eastAsia="WP TypographicSymbols;Symbol" w:cs="WP TypographicSymbols;Symbol" w:ascii="WP TypographicSymbols;Symbol" w:hAnsi="WP TypographicSymbols;Symbol"/>
        </w:rPr>
        <w:sym w:font="WP TypographicSymbols;Symbol" w:char="f041"/>
      </w:r>
      <w:r>
        <w:rPr/>
        <w:t>Party A</w:t>
      </w:r>
      <w:r>
        <w:rPr>
          <w:rFonts w:eastAsia="WP TypographicSymbols;Symbol" w:cs="WP TypographicSymbols;Symbol" w:ascii="WP TypographicSymbols;Symbol" w:hAnsi="WP TypographicSymbols;Symbol"/>
        </w:rPr>
        <w:sym w:font="WP TypographicSymbols;Symbol" w:char="f040"/>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w:t>
        <w:tab/>
        <w:tab/>
        <w:t>Interest Rate Swap M [</w:t>
      </w:r>
      <w:r>
        <w:rPr>
          <w:u w:val="single"/>
        </w:rPr>
        <w:t>deal number</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Dear Sirs: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purpose of this letter agreement is to confirm the terms and conditions of the Transaction entered into between us on the Trade Date specified below (the </w:t>
      </w:r>
      <w:r>
        <w:rPr>
          <w:rFonts w:eastAsia="WP TypographicSymbols;Symbol" w:cs="WP TypographicSymbols;Symbol" w:ascii="WP TypographicSymbols;Symbol" w:hAnsi="WP TypographicSymbols;Symbol"/>
        </w:rPr>
        <w:sym w:font="WP TypographicSymbols;Symbol" w:char="f041"/>
      </w:r>
      <w:r>
        <w:rPr/>
        <w:t>Transaction</w:t>
      </w:r>
      <w:r>
        <w:rPr>
          <w:rFonts w:eastAsia="WP TypographicSymbols;Symbol" w:cs="WP TypographicSymbols;Symbol" w:ascii="WP TypographicSymbols;Symbol" w:hAnsi="WP TypographicSymbols;Symbol"/>
        </w:rPr>
        <w:sym w:font="WP TypographicSymbols;Symbol" w:char="f040"/>
      </w:r>
      <w:r>
        <w:rPr/>
        <w:t xml:space="preserve">).  This letter agreement constitutes a </w:t>
      </w:r>
      <w:r>
        <w:rPr>
          <w:rFonts w:eastAsia="WP TypographicSymbols;Symbol" w:cs="WP TypographicSymbols;Symbol" w:ascii="WP TypographicSymbols;Symbol" w:hAnsi="WP TypographicSymbols;Symbol"/>
        </w:rPr>
        <w:sym w:font="WP TypographicSymbols;Symbol" w:char="f041"/>
      </w:r>
      <w:r>
        <w:rPr/>
        <w:t>Confirmation</w:t>
      </w:r>
      <w:r>
        <w:rPr>
          <w:rFonts w:eastAsia="WP TypographicSymbols;Symbol" w:cs="WP TypographicSymbols;Symbol" w:ascii="WP TypographicSymbols;Symbol" w:hAnsi="WP TypographicSymbols;Symbol"/>
        </w:rPr>
        <w:sym w:font="WP TypographicSymbols;Symbol" w:char="f040"/>
      </w:r>
      <w:r>
        <w:rPr/>
        <w:t xml:space="preserve"> as referred to in the ISDA Master Agreement specified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This Confirmation supplements, forms part of, and is subject to, the ISDA Master Agreement dated as of October </w:t>
      </w:r>
      <w:r>
        <w:rPr>
          <w:u w:val="single"/>
        </w:rPr>
        <w:t xml:space="preserve">      </w:t>
      </w:r>
      <w:r>
        <w:rPr/>
        <w:t xml:space="preserve">, 1998, as amended and supplemented from time to time (the </w:t>
      </w:r>
      <w:r>
        <w:rPr>
          <w:rFonts w:eastAsia="WP TypographicSymbols;Symbol" w:cs="WP TypographicSymbols;Symbol" w:ascii="WP TypographicSymbols;Symbol" w:hAnsi="WP TypographicSymbols;Symbol"/>
        </w:rPr>
        <w:sym w:font="WP TypographicSymbols;Symbol" w:char="f041"/>
      </w:r>
      <w:r>
        <w:rPr/>
        <w:t>Agreement</w:t>
      </w:r>
      <w:r>
        <w:rPr>
          <w:rFonts w:eastAsia="WP TypographicSymbols;Symbol" w:cs="WP TypographicSymbols;Symbol" w:ascii="WP TypographicSymbols;Symbol" w:hAnsi="WP TypographicSymbols;Symbol"/>
        </w:rPr>
        <w:sym w:font="WP TypographicSymbols;Symbol" w:char="f040"/>
      </w:r>
      <w:r>
        <w:rPr/>
        <w:t>), between you and us.  All provisions contained in the Agreement govern this Confirmation except as expressly modified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terms of the particular Transaction to which this Confirmation relates are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Type of Transaction</w:t>
        <w:tab/>
        <w:tab/>
        <w:tab/>
        <w:tab/>
        <w:t>Swap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Notional Amount</w:t>
        <w:tab/>
        <w:tab/>
        <w:tab/>
        <w:tab/>
        <w:t>With respect to each Tranche for each Calculation Period, the amount in U.S. Dollars set forth in Exhibit A hereto with respect to such Calculation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Trade Date:</w:t>
        <w:tab/>
        <w:tab/>
        <w:tab/>
        <w:tab/>
        <w:tab/>
        <w:t xml:space="preserve">October </w:t>
      </w:r>
      <w:r>
        <w:rPr>
          <w:u w:val="single"/>
        </w:rPr>
        <w:t xml:space="preserve">        </w:t>
      </w:r>
      <w:r>
        <w:rPr/>
        <w:t>, 1998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Effective Date:</w:t>
        <w:tab/>
        <w:tab/>
        <w:tab/>
        <w:tab/>
        <w:t>[insert date contemplated for first disbursement under Transaction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Termination Date</w:t>
        <w:tab/>
        <w:tab/>
        <w:tab/>
        <w:tab/>
        <w:t>[insert date contemplated for last repayment], subject to adjustment in accordance with the Modified Following Business Day Convention; provided, that solely for the purposes of the amounts computed pursuant to clauses (iv) and (v) of the of the definition of Fixed Amount, the later of (i) the date the Option is exercised or (ii) all of the Chartered Equipment has been disposed of by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Applicable Margin</w:t>
        <w:tab/>
        <w:tab/>
        <w:tab/>
        <w:tab/>
        <w:t>With respect to each of the Tranche A Loans, the Tranche B Loans, and the Tranche C Loans, the Applicable Margin with respect thereto as defined in the Credit Agreement</w:t>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Charter</w:t>
        <w:tab/>
        <w:tab/>
        <w:tab/>
        <w:tab/>
        <w:tab/>
        <w:t>The Main Bareboat Charter dated October __, 1998 by and between Petrobras International Finance Company and Bijupira-Salema Development Company Ltd., as the same may be modified, amended or supplemented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Credit Agreement</w:t>
        <w:tab/>
        <w:tab/>
        <w:tab/>
        <w:tab/>
        <w:t>The Credit Agreement dated October __, 1998 by and among Bijupira-Salema Development Company Ltd, as Borrower, and the Lenders referred to therein, and Enron International, Inc., as Administrative Agent, as the same may be modified, amended or supplemented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Credit Parties</w:t>
        <w:tab/>
        <w:tab/>
        <w:tab/>
        <w:tab/>
        <w:tab/>
        <w:t>The Credit Parties as defined in the Credit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Deferred Amount</w:t>
        <w:tab/>
        <w:tab/>
        <w:tab/>
        <w:tab/>
        <w:t>With respect to any Calculation Period in which a Reserve Deficiency exists and the Reserve Indemnity is not in effect, a portion of any amount due to Party A under the Rate Swap in the same proportion that the amount payable to Party B under the Charter in such Calculation Period is reduced from the amount that would have been payable to Party B under the Charter in such Calculation Period had such Reserve Deficiency not existed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Makeup Amount</w:t>
        <w:tab/>
        <w:tab/>
        <w:tab/>
        <w:tab/>
        <w:t xml:space="preserve">With respect to any Calculation Period after a Deferred Amount has arisen, to the extent payable under Section __ of the Participation Agreement to Party A with respect to such Calculation Period, the sum of all Deferred Amounts that have theretofore arisen hereunder, less all Makeup Amounts theretofore paid to Party A hereunder, plus an amount equal to interest on each Deferral Amount from the date such amount arose until recouped pursuant to the terms hereof at the </w:t>
      </w:r>
      <w:r>
        <w:rPr>
          <w:u w:val="single"/>
        </w:rPr>
        <w:t xml:space="preserve">____________ </w:t>
      </w:r>
      <w:r>
        <w:rPr/>
        <w:t>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Option</w:t>
        <w:tab/>
        <w:tab/>
        <w:tab/>
        <w:tab/>
        <w:tab/>
        <w:tab/>
        <w:t>The Option as defined in the Transaction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Rate Swap</w:t>
        <w:tab/>
        <w:tab/>
        <w:tab/>
        <w:tab/>
        <w:tab/>
        <w:t>With respect to any Calculation Period, the amount that would be payable hereunder if the Fixed Amount was limited to the amount calculated pursuant to clause (i) of the definition of Fixed Amount, and the Floating Amount was limited to the amount calculated pursuant to clause (i) of the definition of Floating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 xml:space="preserve">Total Amount </w:t>
        <w:tab/>
        <w:tab/>
        <w:tab/>
        <w:tab/>
        <w:tab/>
        <w:t>As of any time the Total Amount as defined in and determined in accordance with the provisions of the Transaction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Tranche</w:t>
        <w:tab/>
        <w:tab/>
        <w:tab/>
        <w:tab/>
        <w:tab/>
        <w:t>Each of Tranche A, Tranche B and Tranche C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 xml:space="preserve">Tranche A Loans </w:t>
        <w:tab/>
        <w:tab/>
        <w:tab/>
        <w:tab/>
        <w:t>The Tranche A Loans as defined in the Credit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Tranche B Loans</w:t>
        <w:tab/>
        <w:tab/>
        <w:tab/>
        <w:tab/>
        <w:t xml:space="preserve">The Tranche B Loans as defined in the Credit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Tranche C Loans</w:t>
        <w:tab/>
        <w:tab/>
        <w:tab/>
        <w:tab/>
        <w:t>The Tranche C Loans as defined in the Credit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Transaction Documents</w:t>
        <w:tab/>
        <w:tab/>
        <w:tab/>
        <w:t xml:space="preserve">The Transaction Documents as defined in the Charter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Weighted Average Margin</w:t>
        <w:tab/>
        <w:tab/>
        <w:tab/>
        <w:t>As of any time the Weighted Average Margin as defined in and determined in accordance with the provisions of the Transaction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ab/>
        <w:tab/>
      </w:r>
    </w:p>
    <w:p>
      <w:pPr>
        <w:sectPr>
          <w:type w:val="nextPage"/>
          <w:pgSz w:w="12240" w:h="15840"/>
          <w:pgMar w:left="1440" w:right="1440" w:gutter="0" w:header="0" w:top="1440" w:footer="0" w:bottom="1440"/>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t>Fixed Amounts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Fixed Amount Payer</w:t>
        <w:tab/>
        <w:tab/>
        <w:tab/>
        <w:tab/>
        <w:t>Party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Fixed Amount</w:t>
        <w:tab/>
        <w:tab/>
        <w:tab/>
        <w:tab/>
        <w:tab/>
        <w:t>With respect to each Calculation Period, the sum of (i) the aggregate Notional Amounts for all Tranches for such Calculation Period times the Fixed Rate times the Fixed Rate Day Count Fraction, plus (ii) the Fixed Rate Spread with respect to such Calculation Period, less (iii) any Deferred Amount with respect to such Calculation Period, plus (iv) any Makeup Amount with respect to such Calculation Period, plus (v) any other amount received by the Company during such Calculation Period (or held by the Company on the applicable Payment Date) in excess of the amounts necessary to pay amounts due by the Company on the applicable Payment Date to the Credit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Fixed Amount Payment Dates</w:t>
        <w:tab/>
        <w:tab/>
        <w:t>As set forth in Exhibit A, subject to adjustment 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 xml:space="preserve">accordance with the Modified Following Business Day </w:t>
        <w:tab/>
        <w:tab/>
        <w:tab/>
        <w:tab/>
        <w:tab/>
        <w:tab/>
        <w:t>Convention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Fixed Rate</w:t>
        <w:tab/>
        <w:tab/>
        <w:tab/>
        <w:tab/>
        <w:tab/>
        <w:t>[</w:t>
      </w:r>
      <w:r>
        <w:rPr>
          <w:u w:val="single"/>
        </w:rPr>
        <w:t xml:space="preserve">     </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Fixed Rate Day Count Fraction</w:t>
        <w:tab/>
        <w:tab/>
        <w:t>Actual/Actual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Fixed Rate Spread</w:t>
        <w:tab/>
        <w:tab/>
        <w:tab/>
        <w:tab/>
        <w:t>With respect to each Calculation Period, the average Total Amount outstanding during such Calculation Period times the Weighted Average Margin during such Calculation Period, times the Fixed Rate Day Count Fraction; provided that with respect to any Calculation Period in which a Reserve Deficiency exists and the Reserve Indemnity is not in effect, the Fixed Rate Spread shall be zero.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t>Floating Amounts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Rate Payer</w:t>
        <w:tab/>
        <w:tab/>
        <w:tab/>
        <w:tab/>
        <w:t>Party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Rate Payer Payment Dates</w:t>
        <w:tab/>
        <w:tab/>
        <w:t>As set forth in Exhibit A, subject to adjustment 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 xml:space="preserve">accordance with the Modified Following Business Day </w:t>
        <w:tab/>
        <w:tab/>
        <w:tab/>
        <w:tab/>
        <w:tab/>
        <w:tab/>
        <w:t>Convention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Floating Amount</w:t>
        <w:tab/>
        <w:tab/>
        <w:tab/>
        <w:tab/>
        <w:t xml:space="preserve">With respect to each Calculation Period, the sum of (i) the aggregate Notional Amount for all Tranches for such Calculation Period times the Floating Rate times the Floating Rate Day Count Fraction, plus (ii) the Floating Rate Spread with respect to such Calculation Period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Rate Option</w:t>
        <w:tab/>
        <w:tab/>
        <w:tab/>
        <w:tab/>
        <w:t>USD-LIBOR-BBA (Telerate page 3750)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Rate Day Count Fraction</w:t>
        <w:tab/>
        <w:tab/>
        <w:t>Actual/360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Designated Maturity</w:t>
        <w:tab/>
        <w:tab/>
        <w:tab/>
        <w:tab/>
        <w:t>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Floating Rate Spread</w:t>
        <w:tab/>
        <w:tab/>
        <w:tab/>
        <w:tab/>
        <w:t>With respect to each Calculation Period, the sum of (i) the amount of Tranche A Loans actually outstanding during such Calculation Period times the Applicable Margin for such Calculation Period for the Tranche A Loans times the Floating Rate Day Count Fraction, plus (ii) the amount of Tranche B Loans actually outstanding during such Calculation Period times the Applicable Margin for such Calculation Period for the Tranche B Loans times the Floating Rate Day Count Fraction, plus (ii) the amount of Tranche C Loans actually outstanding during such Calculation Period times the Applicable Margin for such Calculation for the Tranche C Loans times the Floating Rate Day Count Fraction; provided that with respect to any Calculation Period in which a Reserve Deficiency exists and the Reserve Indemnity is not in effect, the Floating Rate Spread shall be zero.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Reset Date</w:t>
        <w:tab/>
        <w:tab/>
        <w:tab/>
        <w:tab/>
        <w:tab/>
        <w:t>The first day of each Calculation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Business Days</w:t>
        <w:tab/>
        <w:tab/>
        <w:tab/>
        <w:tab/>
        <w:tab/>
        <w:t xml:space="preserve">New York and London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Calculation Agent</w:t>
        <w:tab/>
        <w:tab/>
        <w:tab/>
        <w:tab/>
        <w:t>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u w:val="single"/>
        </w:rPr>
        <w:t>Account Details</w:t>
      </w:r>
      <w:r>
        <w:rPr>
          <w:b/>
          <w:bCs/>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Party A Payment Instructions</w:t>
        <w:tab/>
        <w:tab/>
        <w:tab/>
        <w:t>To Be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Party B Payment Instructions</w:t>
        <w:tab/>
        <w:tab/>
        <w:tab/>
        <w:t>To Be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accordance with the procedures set forth in the Agreement, please confirm that the foregoing correctly sets forth the terms of our agreement by executing the copy of this Confirmation enclosed for that purpose and returning it to us.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Yours sincerely,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Enron Capital &amp; Trade Resources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By: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Title: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Confirmed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Bijupirá-Salema Development Company Ltd.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By: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Title: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F:\fc0368\enr150\petro\word\ectoct2.doc</w:t>
      </w:r>
    </w:p>
    <w:sectPr>
      <w:type w:val="continuous"/>
      <w:pgSz w:w="12240" w:h="15840"/>
      <w:pgMar w:left="1440" w:right="1440" w:gutter="0" w:header="0" w:top="1440"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altName w:val="Symbol"/>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1998-10-30T00:41:00Z</dcterms:created>
  <dc:creator>Vinson &amp; Elkins L.L.P.</dc:creator>
  <dc:description/>
  <dc:language>en-CA</dc:language>
  <cp:lastModifiedBy>Vinson &amp; Elkins L.L.P.</cp:lastModifiedBy>
  <cp:lastPrinted>1998-10-28T11:54:00Z</cp:lastPrinted>
  <dcterms:modified xsi:type="dcterms:W3CDTF">1998-10-30T00:41:00Z</dcterms:modified>
  <cp:revision>1</cp:revision>
  <dc:subject/>
  <dc:title>[ECT Letterhead]</dc:title>
</cp:coreProperties>
</file>