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Internal Memorandum</w:t>
      </w:r>
    </w:p>
    <w:p>
      <w:pPr>
        <w:pStyle w:val="Normal"/>
        <w:rPr/>
      </w:pPr>
      <w:r>
        <w:rPr/>
      </w:r>
    </w:p>
    <w:p>
      <w:pPr>
        <w:pStyle w:val="Normal"/>
        <w:rPr/>
      </w:pPr>
      <w:r>
        <w:rPr/>
      </w:r>
    </w:p>
    <w:p>
      <w:pPr>
        <w:pStyle w:val="Normal"/>
        <w:rPr/>
      </w:pPr>
      <w:r>
        <w:rPr/>
        <w:t>To: File</w:t>
      </w:r>
    </w:p>
    <w:p>
      <w:pPr>
        <w:pStyle w:val="Normal"/>
        <w:rPr/>
      </w:pPr>
      <w:r>
        <w:rPr/>
      </w:r>
    </w:p>
    <w:p>
      <w:pPr>
        <w:pStyle w:val="Normal"/>
        <w:rPr/>
      </w:pPr>
      <w:r>
        <w:rPr/>
        <w:t>From: Stuart Zisman and Mark Knippa</w:t>
      </w:r>
    </w:p>
    <w:p>
      <w:pPr>
        <w:pStyle w:val="Normal"/>
        <w:rPr/>
      </w:pPr>
      <w:r>
        <w:rPr/>
      </w:r>
    </w:p>
    <w:p>
      <w:pPr>
        <w:pStyle w:val="Normal"/>
        <w:rPr/>
      </w:pPr>
      <w:r>
        <w:rPr/>
        <w:t>Date: December 13, 2001</w:t>
      </w:r>
    </w:p>
    <w:p>
      <w:pPr>
        <w:pStyle w:val="Normal"/>
        <w:rPr/>
      </w:pPr>
      <w:r>
        <w:rPr/>
      </w:r>
    </w:p>
    <w:p>
      <w:pPr>
        <w:pStyle w:val="Normal"/>
        <w:rPr/>
      </w:pPr>
      <w:r>
        <w:rPr/>
        <w:t>Re: ECS Compression Company, LLC (“LLC”)</w:t>
      </w:r>
    </w:p>
    <w:p>
      <w:pPr>
        <w:pStyle w:val="Normal"/>
        <w:rPr/>
      </w:pPr>
      <w:r>
        <w:rPr/>
      </w:r>
    </w:p>
    <w:p>
      <w:pPr>
        <w:pStyle w:val="Normal"/>
        <w:rPr>
          <w:b/>
          <w:bCs/>
          <w:u w:val="single"/>
        </w:rPr>
      </w:pPr>
      <w:r>
        <w:rPr>
          <w:b/>
          <w:bCs/>
          <w:u w:val="single"/>
        </w:rPr>
        <w:t>General Description:</w:t>
      </w:r>
    </w:p>
    <w:p>
      <w:pPr>
        <w:pStyle w:val="Normal"/>
        <w:rPr>
          <w:b/>
          <w:bCs/>
          <w:u w:val="single"/>
        </w:rPr>
      </w:pPr>
      <w:r>
        <w:rPr>
          <w:b/>
          <w:bCs/>
          <w:u w:val="single"/>
        </w:rPr>
      </w:r>
    </w:p>
    <w:p>
      <w:pPr>
        <w:pStyle w:val="Normal"/>
        <w:rPr/>
      </w:pPr>
      <w:r>
        <w:rPr/>
        <w:t xml:space="preserve">Enron Compression Services Company (“ECS”), a wholly-owned subsidiary of Enron North America Corp. (“ENA”), originally entered into three separate arrangements with Transwestern Pipeline Company (“TW”) whereby ECS was to provide electrical and mechanical infrastructure to deliver shaft energy to the shaft of TW’s compressors.  The (3) projects are the (i) Bisti, (ii) Bloomfield and (iii) Gallup compressor stations.  Pursuant to the arrangements, ECS was obligated to purchase retail power and deliver it to TW and in consideration therefore is entitled to receive (i) an annual cash amount payable in equal monthly installments and (ii) a gas delivery in physical MMBtu’s (the amount of gas varies depending upon the amount of horsepower delivered to TW) delivered at the TW West Texas Pool.  ECS has contracted with ENA for term, fixed price for the gas.  </w:t>
      </w:r>
    </w:p>
    <w:p>
      <w:pPr>
        <w:pStyle w:val="Normal"/>
        <w:rPr/>
      </w:pPr>
      <w:r>
        <w:rPr/>
      </w:r>
    </w:p>
    <w:p>
      <w:pPr>
        <w:pStyle w:val="Normal"/>
        <w:rPr/>
      </w:pPr>
      <w:r>
        <w:rPr/>
        <w:t xml:space="preserve">These projects were sold into LLC and ECS remains the Managing Member of the LLC and retains a 19%, 19% and 5% interest in the projects respectively.  Neither LLC nor ECS is a debtor in bankruptcy and LLC has maintained a separate account.  Enron has no ability to access the LLC funds.  Currently LLC has outstanding bills with the electric utilities and with the operator (TW) that need to be paid and adequate funds in its account to pay them.  The ongoing business associated with each project remains profitable on both a cash and forward basis. Both the Bisti and Bloomfield contract terms are through December of 2006 and Gallup’s contract term is through March 2010. </w:t>
      </w:r>
    </w:p>
    <w:p>
      <w:pPr>
        <w:pStyle w:val="Normal"/>
        <w:rPr/>
      </w:pPr>
      <w:r>
        <w:rPr/>
      </w:r>
    </w:p>
    <w:p>
      <w:pPr>
        <w:pStyle w:val="Normal"/>
        <w:rPr>
          <w:b/>
          <w:bCs/>
          <w:u w:val="single"/>
        </w:rPr>
      </w:pPr>
      <w:r>
        <w:rPr>
          <w:b/>
          <w:bCs/>
          <w:u w:val="single"/>
        </w:rPr>
        <w:t>Deal Structures:</w:t>
      </w:r>
    </w:p>
    <w:p>
      <w:pPr>
        <w:pStyle w:val="Normal"/>
        <w:rPr>
          <w:b/>
          <w:bCs/>
          <w:u w:val="single"/>
        </w:rPr>
      </w:pPr>
      <w:r>
        <w:rPr>
          <w:b/>
          <w:bCs/>
          <w:u w:val="single"/>
        </w:rPr>
      </w:r>
    </w:p>
    <w:p>
      <w:pPr>
        <w:pStyle w:val="Normal"/>
        <w:rPr/>
      </w:pPr>
      <w:r>
        <w:rPr/>
        <w:t>See the attached diagrams</w:t>
      </w:r>
    </w:p>
    <w:p>
      <w:pPr>
        <w:pStyle w:val="Normal"/>
        <w:rPr/>
      </w:pPr>
      <w:r>
        <w:rPr/>
      </w:r>
    </w:p>
    <w:p>
      <w:pPr>
        <w:pStyle w:val="Normal"/>
        <w:rPr>
          <w:b/>
          <w:bCs/>
          <w:u w:val="single"/>
        </w:rPr>
      </w:pPr>
      <w:r>
        <w:rPr>
          <w:b/>
          <w:bCs/>
          <w:u w:val="single"/>
        </w:rPr>
        <w:t>Cash Flows:</w:t>
      </w:r>
    </w:p>
    <w:p>
      <w:pPr>
        <w:pStyle w:val="Normal"/>
        <w:rPr>
          <w:b/>
          <w:bCs/>
          <w:u w:val="single"/>
        </w:rPr>
      </w:pPr>
      <w:r>
        <w:rPr>
          <w:b/>
          <w:bCs/>
          <w:u w:val="single"/>
        </w:rPr>
      </w:r>
    </w:p>
    <w:p>
      <w:pPr>
        <w:pStyle w:val="Normal"/>
        <w:rPr/>
      </w:pPr>
      <w:r>
        <w:rPr/>
        <w:t>See the attached spreadsheets for actual revenues/expenses received and paid to date and projected revenues/expenses.</w:t>
      </w:r>
    </w:p>
    <w:p>
      <w:pPr>
        <w:pStyle w:val="Normal"/>
        <w:rPr/>
      </w:pPr>
      <w:r>
        <w:rPr/>
      </w:r>
    </w:p>
    <w:p>
      <w:pPr>
        <w:pStyle w:val="Normal"/>
        <w:rPr>
          <w:b/>
          <w:bCs/>
          <w:u w:val="single"/>
        </w:rPr>
      </w:pPr>
      <w:r>
        <w:rPr>
          <w:b/>
          <w:bCs/>
          <w:u w:val="single"/>
        </w:rPr>
        <w:t>Contracts:</w:t>
      </w:r>
    </w:p>
    <w:p>
      <w:pPr>
        <w:pStyle w:val="Normal"/>
        <w:rPr>
          <w:b/>
          <w:bCs/>
          <w:u w:val="single"/>
        </w:rPr>
      </w:pPr>
      <w:r>
        <w:rPr>
          <w:b/>
          <w:bCs/>
          <w:u w:val="single"/>
        </w:rPr>
      </w:r>
    </w:p>
    <w:p>
      <w:pPr>
        <w:pStyle w:val="Normal"/>
        <w:rPr/>
      </w:pPr>
      <w:r>
        <w:rPr/>
        <w:t>See the attached summaries of contracts for each project.</w:t>
      </w:r>
    </w:p>
    <w:p>
      <w:pPr>
        <w:pStyle w:val="Normal"/>
        <w:rPr>
          <w:b/>
          <w:bCs/>
          <w:u w:val="single"/>
        </w:rPr>
      </w:pPr>
      <w:r>
        <w:rPr>
          <w:b/>
          <w:bCs/>
          <w:u w:val="single"/>
        </w:rPr>
      </w:r>
    </w:p>
    <w:p>
      <w:pPr>
        <w:pStyle w:val="Normal"/>
        <w:rPr>
          <w:b/>
          <w:bCs/>
          <w:u w:val="single"/>
        </w:rPr>
      </w:pPr>
      <w:r>
        <w:rPr>
          <w:b/>
          <w:bCs/>
          <w:u w:val="single"/>
        </w:rPr>
        <w:t>Issues:</w:t>
      </w:r>
    </w:p>
    <w:p>
      <w:pPr>
        <w:pStyle w:val="Normal"/>
        <w:rPr>
          <w:b/>
          <w:bCs/>
          <w:u w:val="single"/>
        </w:rPr>
      </w:pPr>
      <w:r>
        <w:rPr>
          <w:b/>
          <w:bCs/>
          <w:u w:val="single"/>
        </w:rPr>
      </w:r>
    </w:p>
    <w:p>
      <w:pPr>
        <w:pStyle w:val="Normal"/>
        <w:numPr>
          <w:ilvl w:val="0"/>
          <w:numId w:val="2"/>
        </w:numPr>
        <w:rPr/>
      </w:pPr>
      <w:r>
        <w:rPr/>
        <w:t>EMP ECHO LLC (“ECHO”), the other member of LLC, must be informed as to know whether the it will be receiving distributions at the end of the year that are sufficient to pay the principal and interest payments that are required under its debt obligations.</w:t>
      </w:r>
    </w:p>
    <w:p>
      <w:pPr>
        <w:pStyle w:val="Normal"/>
        <w:ind w:start="360" w:end="0"/>
        <w:rPr/>
      </w:pPr>
      <w:r>
        <w:rPr/>
      </w:r>
    </w:p>
    <w:p>
      <w:pPr>
        <w:pStyle w:val="Normal"/>
        <w:numPr>
          <w:ilvl w:val="0"/>
          <w:numId w:val="2"/>
        </w:numPr>
        <w:rPr/>
      </w:pPr>
      <w:r>
        <w:rPr/>
        <w:t xml:space="preserve">We must identify a way to sell the gas that has been/will be provided to ECS from TW as consideration under the Compression Services Agreement.  In other words, we need to see if Enron Natural Gas Marketing Corp. can continue to perform under their respective agreements with ECS.  In the past, ENA marketed the gas but for obvious reasons has been experiencing difficulty selling the gas.  Mark Knippa has had conversations with TW about this and believes that he may have a buyer.  We need to be certain that cash received for the sale of this gas makes it to the LLC.  One avenue being pursued is to have ENA sell the gas and instruct the buyer to pay LLC directly.  On a longer term basis, we need to try to lock in another long term fixed gas sales arrangement to remove the risk of gas price volatility from the LLC. </w:t>
      </w:r>
    </w:p>
    <w:p>
      <w:pPr>
        <w:pStyle w:val="Normal"/>
        <w:rPr/>
      </w:pPr>
      <w:r>
        <w:rPr/>
      </w:r>
    </w:p>
    <w:p>
      <w:pPr>
        <w:pStyle w:val="Normal"/>
        <w:numPr>
          <w:ilvl w:val="0"/>
          <w:numId w:val="2"/>
        </w:numPr>
        <w:rPr/>
      </w:pPr>
      <w:r>
        <w:rPr/>
        <w:t>Based on the profits of the LLC and the actual/expected cash flows for calendar year 2001, we need to determine whether ECHO will have the cash necessary to pay its tax liability in April of 2002.  While there was an Enron Corp. guaranty in place to provide ECHO with an assurance that it would always have the cash to cover its tax obligations, this guaranty is probably ineffective given Enron Corp.’s status.  Gary Biggers, ECHO’s accountant, believes that this year won’t be a problem but ECHO needs a longer term solution.</w:t>
      </w:r>
    </w:p>
    <w:p>
      <w:pPr>
        <w:pStyle w:val="Normal"/>
        <w:rPr/>
      </w:pPr>
      <w:r>
        <w:rPr/>
      </w:r>
    </w:p>
    <w:p>
      <w:pPr>
        <w:pStyle w:val="Normal"/>
        <w:numPr>
          <w:ilvl w:val="0"/>
          <w:numId w:val="2"/>
        </w:numPr>
        <w:rPr/>
      </w:pPr>
      <w:r>
        <w:rPr/>
        <w:t>If the Deemed ISDA between ENA and ECHO on the Gallup transaction is terminated by ECHO, we need to determine (i) what effects this has on other contracts within the arrangement and (ii) how it might be replaced. [Gerald please consider and advise].</w:t>
      </w:r>
    </w:p>
    <w:p>
      <w:pPr>
        <w:pStyle w:val="Normal"/>
        <w:rPr/>
      </w:pPr>
      <w:r>
        <w:rPr/>
      </w:r>
    </w:p>
    <w:p>
      <w:pPr>
        <w:pStyle w:val="Normal"/>
        <w:numPr>
          <w:ilvl w:val="0"/>
          <w:numId w:val="2"/>
        </w:numPr>
        <w:rPr/>
      </w:pPr>
      <w:r>
        <w:rPr/>
        <w:t>The obligations of the Managing Member (ECS) need to be clearly identified so that we can determine how these functions can be served on a going-forward basis.  [Mark please respond to this].  One possibility is to outsource these functions to NEWCO (especially when and if Karen Gruesen moves over).</w:t>
      </w:r>
    </w:p>
    <w:p>
      <w:pPr>
        <w:pStyle w:val="Normal"/>
        <w:rPr/>
      </w:pPr>
      <w:r>
        <w:rPr/>
      </w:r>
      <w:r>
        <w:br w:type="page"/>
      </w:r>
    </w:p>
    <w:p>
      <w:pPr>
        <w:pStyle w:val="Heading1"/>
        <w:ind w:hanging="0" w:start="0"/>
        <w:rPr/>
      </w:pPr>
      <w:r>
        <w:rPr/>
        <w:t>SUMMARIES OF CONTRACTS</w:t>
      </w:r>
    </w:p>
    <w:p>
      <w:pPr>
        <w:pStyle w:val="Heading2"/>
        <w:ind w:hanging="0" w:start="0"/>
        <w:rPr/>
      </w:pPr>
      <w:r>
        <w:rPr/>
      </w:r>
    </w:p>
    <w:p>
      <w:pPr>
        <w:pStyle w:val="Heading2"/>
        <w:ind w:hanging="0" w:start="0"/>
        <w:rPr/>
      </w:pPr>
      <w:r>
        <w:rPr/>
        <w:t>Bloomfield</w:t>
      </w:r>
    </w:p>
    <w:p>
      <w:pPr>
        <w:pStyle w:val="Normal"/>
        <w:jc w:val="center"/>
        <w:rPr>
          <w:b/>
          <w:bCs/>
        </w:rPr>
      </w:pPr>
      <w:r>
        <w:rPr>
          <w:b/>
          <w:bCs/>
        </w:rPr>
      </w:r>
    </w:p>
    <w:p>
      <w:pPr>
        <w:pStyle w:val="Normal"/>
        <w:jc w:val="center"/>
        <w:rPr>
          <w:sz w:val="22"/>
        </w:rPr>
      </w:pPr>
      <w:r>
        <w:rPr>
          <w:sz w:val="22"/>
        </w:rPr>
        <w:t>BLOOMFIELD CONTRACTS with DEBTOR ENTITIES</w:t>
      </w:r>
    </w:p>
    <w:p>
      <w:pPr>
        <w:pStyle w:val="Normal"/>
        <w:jc w:val="center"/>
        <w:rPr>
          <w:sz w:val="22"/>
        </w:rPr>
      </w:pPr>
      <w:r>
        <w:rPr>
          <w:sz w:val="22"/>
        </w:rPr>
      </w:r>
    </w:p>
    <w:p>
      <w:pPr>
        <w:pStyle w:val="Normal"/>
        <w:jc w:val="both"/>
        <w:rPr>
          <w:sz w:val="22"/>
        </w:rPr>
      </w:pPr>
      <w:r>
        <w:rPr>
          <w:sz w:val="22"/>
        </w:rPr>
      </w:r>
    </w:p>
    <w:p>
      <w:pPr>
        <w:pStyle w:val="BodyText"/>
        <w:rPr>
          <w:b/>
          <w:bCs/>
          <w:sz w:val="22"/>
        </w:rPr>
      </w:pPr>
      <w:r>
        <w:rPr>
          <w:b/>
          <w:bCs/>
          <w:sz w:val="22"/>
        </w:rPr>
        <w:t>NONE</w:t>
      </w:r>
    </w:p>
    <w:p>
      <w:pPr>
        <w:pStyle w:val="BodyText"/>
        <w:rPr>
          <w:b/>
          <w:bCs/>
          <w:sz w:val="22"/>
        </w:rPr>
      </w:pPr>
      <w:r>
        <w:rPr>
          <w:b/>
          <w:bCs/>
          <w:sz w:val="22"/>
        </w:rPr>
      </w:r>
    </w:p>
    <w:p>
      <w:pPr>
        <w:pStyle w:val="Normal"/>
        <w:jc w:val="center"/>
        <w:rPr>
          <w:sz w:val="22"/>
        </w:rPr>
      </w:pPr>
      <w:r>
        <w:rPr>
          <w:sz w:val="22"/>
        </w:rPr>
        <w:t>BLOOMFIELD CONTRACTS with NON-DEBTOR ENTITIES</w:t>
      </w:r>
    </w:p>
    <w:p>
      <w:pPr>
        <w:pStyle w:val="Normal"/>
        <w:jc w:val="center"/>
        <w:rPr>
          <w:sz w:val="22"/>
        </w:rPr>
      </w:pPr>
      <w:r>
        <w:rPr>
          <w:sz w:val="22"/>
        </w:rPr>
      </w:r>
    </w:p>
    <w:p>
      <w:pPr>
        <w:pStyle w:val="BodyText"/>
        <w:ind w:start="180" w:end="0"/>
        <w:rPr>
          <w:sz w:val="22"/>
        </w:rPr>
      </w:pPr>
      <w:r>
        <w:rPr>
          <w:sz w:val="22"/>
        </w:rPr>
        <w:t>1.  Compression Services Agreement between LLC and TW dated March 31, 1999, as amended on June 30, 1999, and associated Letter Agreements.</w:t>
      </w:r>
    </w:p>
    <w:p>
      <w:pPr>
        <w:pStyle w:val="BodyText"/>
        <w:ind w:start="180" w:end="0"/>
        <w:rPr>
          <w:sz w:val="22"/>
        </w:rPr>
      </w:pPr>
      <w:r>
        <w:rPr>
          <w:sz w:val="22"/>
        </w:rPr>
      </w:r>
    </w:p>
    <w:p>
      <w:pPr>
        <w:pStyle w:val="BodyText"/>
        <w:ind w:start="180" w:end="0"/>
        <w:rPr>
          <w:sz w:val="22"/>
        </w:rPr>
      </w:pPr>
      <w:r>
        <w:rPr>
          <w:sz w:val="22"/>
        </w:rPr>
        <w:t>2.  Operations and Maintenance Agreement between LLC and TW dated September 9, 1996, as amended on June 18, 1999.</w:t>
      </w:r>
    </w:p>
    <w:p>
      <w:pPr>
        <w:pStyle w:val="BodyText"/>
        <w:ind w:start="180" w:end="0"/>
        <w:rPr>
          <w:sz w:val="22"/>
        </w:rPr>
      </w:pPr>
      <w:r>
        <w:rPr>
          <w:sz w:val="22"/>
        </w:rPr>
      </w:r>
    </w:p>
    <w:p>
      <w:pPr>
        <w:pStyle w:val="BodyText"/>
        <w:ind w:start="180" w:end="0"/>
        <w:rPr/>
      </w:pPr>
      <w:r>
        <w:rPr>
          <w:sz w:val="22"/>
        </w:rPr>
        <w:t xml:space="preserve">3.  General Services Agreement between </w:t>
      </w:r>
      <w:r>
        <w:rPr>
          <w:b/>
          <w:bCs/>
          <w:sz w:val="22"/>
        </w:rPr>
        <w:t xml:space="preserve">[LLC and?][GERALD PLEASE ADVISE] </w:t>
      </w:r>
      <w:r>
        <w:rPr>
          <w:sz w:val="22"/>
        </w:rPr>
        <w:t>City of Farmington Electric Utility System of the City of Farmington dated April 8, 1996.</w:t>
      </w:r>
    </w:p>
    <w:p>
      <w:pPr>
        <w:pStyle w:val="BodyText"/>
        <w:ind w:start="180" w:end="0"/>
        <w:rPr>
          <w:sz w:val="22"/>
        </w:rPr>
      </w:pPr>
      <w:r>
        <w:rPr>
          <w:sz w:val="22"/>
        </w:rPr>
      </w:r>
    </w:p>
    <w:p>
      <w:pPr>
        <w:pStyle w:val="BodyText"/>
        <w:ind w:start="180" w:end="0"/>
        <w:rPr>
          <w:sz w:val="22"/>
        </w:rPr>
      </w:pPr>
      <w:r>
        <w:rPr>
          <w:sz w:val="22"/>
        </w:rPr>
        <w:t>4.  Enfolio Master Firm Purchase/Sale Agreement between LLC and ECS dated June 30, 1999.</w:t>
      </w:r>
    </w:p>
    <w:p>
      <w:pPr>
        <w:pStyle w:val="BodyText"/>
        <w:ind w:start="180" w:end="0"/>
        <w:rPr>
          <w:sz w:val="22"/>
        </w:rPr>
      </w:pPr>
      <w:r>
        <w:rPr>
          <w:sz w:val="22"/>
        </w:rPr>
      </w:r>
    </w:p>
    <w:p>
      <w:pPr>
        <w:pStyle w:val="BodyText"/>
        <w:ind w:start="180" w:end="0"/>
        <w:rPr>
          <w:sz w:val="22"/>
        </w:rPr>
      </w:pPr>
      <w:r>
        <w:rPr>
          <w:sz w:val="22"/>
        </w:rPr>
        <w:t>5.  Enfolio Master Firm Purchase/Sale Agreement between ECS and Enron Natural Gas Marketing Corp. dated June 30, 1999.</w:t>
      </w:r>
    </w:p>
    <w:p>
      <w:pPr>
        <w:pStyle w:val="BodyText"/>
        <w:ind w:start="180" w:end="0"/>
        <w:rPr>
          <w:sz w:val="22"/>
        </w:rPr>
      </w:pPr>
      <w:r>
        <w:rPr>
          <w:sz w:val="22"/>
        </w:rPr>
      </w:r>
    </w:p>
    <w:p>
      <w:pPr>
        <w:pStyle w:val="BodyText"/>
        <w:ind w:start="720" w:end="0"/>
        <w:rPr>
          <w:sz w:val="22"/>
        </w:rPr>
      </w:pPr>
      <w:r>
        <w:rPr>
          <w:sz w:val="22"/>
        </w:rPr>
      </w:r>
    </w:p>
    <w:p>
      <w:pPr>
        <w:pStyle w:val="BodyText"/>
        <w:ind w:start="720" w:end="0"/>
        <w:jc w:val="center"/>
        <w:rPr>
          <w:b/>
          <w:bCs/>
          <w:u w:val="single"/>
        </w:rPr>
      </w:pPr>
      <w:r>
        <w:rPr>
          <w:b/>
          <w:bCs/>
          <w:u w:val="single"/>
        </w:rPr>
        <w:t>Bisti</w:t>
      </w:r>
    </w:p>
    <w:p>
      <w:pPr>
        <w:pStyle w:val="BodyText"/>
        <w:ind w:start="720" w:end="0"/>
        <w:jc w:val="center"/>
        <w:rPr>
          <w:b/>
          <w:bCs/>
          <w:sz w:val="22"/>
          <w:u w:val="single"/>
        </w:rPr>
      </w:pPr>
      <w:r>
        <w:rPr>
          <w:b/>
          <w:bCs/>
          <w:sz w:val="22"/>
          <w:u w:val="single"/>
        </w:rPr>
      </w:r>
    </w:p>
    <w:p>
      <w:pPr>
        <w:pStyle w:val="Normal"/>
        <w:jc w:val="center"/>
        <w:rPr>
          <w:sz w:val="22"/>
        </w:rPr>
      </w:pPr>
      <w:r>
        <w:rPr>
          <w:sz w:val="22"/>
        </w:rPr>
        <w:t>BISTI CONTRACTS with DEBTOR ENTITIES</w:t>
      </w:r>
    </w:p>
    <w:p>
      <w:pPr>
        <w:pStyle w:val="Normal"/>
        <w:jc w:val="center"/>
        <w:rPr>
          <w:sz w:val="22"/>
        </w:rPr>
      </w:pPr>
      <w:r>
        <w:rPr>
          <w:sz w:val="22"/>
        </w:rPr>
      </w:r>
    </w:p>
    <w:p>
      <w:pPr>
        <w:pStyle w:val="BodyText"/>
        <w:rPr>
          <w:b/>
          <w:bCs/>
          <w:sz w:val="22"/>
        </w:rPr>
      </w:pPr>
      <w:r>
        <w:rPr>
          <w:b/>
          <w:bCs/>
          <w:sz w:val="22"/>
        </w:rPr>
        <w:t>NONE</w:t>
      </w:r>
    </w:p>
    <w:p>
      <w:pPr>
        <w:pStyle w:val="BodyText"/>
        <w:rPr>
          <w:b/>
          <w:bCs/>
          <w:sz w:val="22"/>
        </w:rPr>
      </w:pPr>
      <w:r>
        <w:rPr>
          <w:b/>
          <w:bCs/>
          <w:sz w:val="22"/>
        </w:rPr>
      </w:r>
    </w:p>
    <w:p>
      <w:pPr>
        <w:pStyle w:val="Normal"/>
        <w:jc w:val="center"/>
        <w:rPr>
          <w:sz w:val="22"/>
        </w:rPr>
      </w:pPr>
      <w:r>
        <w:rPr>
          <w:sz w:val="22"/>
        </w:rPr>
        <w:t>BISTI CONTRACTS with NON-DEBTOR ENTITIES</w:t>
      </w:r>
    </w:p>
    <w:p>
      <w:pPr>
        <w:pStyle w:val="Normal"/>
        <w:jc w:val="center"/>
        <w:rPr>
          <w:sz w:val="22"/>
        </w:rPr>
      </w:pPr>
      <w:r>
        <w:rPr>
          <w:sz w:val="22"/>
        </w:rPr>
      </w:r>
    </w:p>
    <w:p>
      <w:pPr>
        <w:pStyle w:val="BodyText"/>
        <w:rPr>
          <w:sz w:val="22"/>
        </w:rPr>
      </w:pPr>
      <w:r>
        <w:rPr>
          <w:sz w:val="22"/>
        </w:rPr>
        <w:t>1.  Compression Services Agreement between LLC and TW dated March 31, 1999, as amended on June 30, 1999, and associated Letter Agreements.</w:t>
      </w:r>
    </w:p>
    <w:p>
      <w:pPr>
        <w:pStyle w:val="BodyText"/>
        <w:rPr>
          <w:sz w:val="22"/>
        </w:rPr>
      </w:pPr>
      <w:r>
        <w:rPr>
          <w:sz w:val="22"/>
        </w:rPr>
      </w:r>
    </w:p>
    <w:p>
      <w:pPr>
        <w:pStyle w:val="BodyText"/>
        <w:rPr>
          <w:sz w:val="22"/>
        </w:rPr>
      </w:pPr>
      <w:r>
        <w:rPr>
          <w:sz w:val="22"/>
        </w:rPr>
        <w:t>2.  Operations and Maintenance Agreement between LLC and TW dated September 9, 1996, as amended on June 18, 1999.</w:t>
      </w:r>
    </w:p>
    <w:p>
      <w:pPr>
        <w:pStyle w:val="BodyText"/>
        <w:rPr>
          <w:sz w:val="22"/>
        </w:rPr>
      </w:pPr>
      <w:r>
        <w:rPr>
          <w:sz w:val="22"/>
        </w:rPr>
      </w:r>
    </w:p>
    <w:p>
      <w:pPr>
        <w:pStyle w:val="BodyText"/>
        <w:rPr>
          <w:sz w:val="22"/>
        </w:rPr>
      </w:pPr>
      <w:r>
        <w:rPr>
          <w:sz w:val="22"/>
        </w:rPr>
        <w:t>3.  Power Sales Agreement between LLC and Navajo Tribal Utility Authority dated September 9, 1996.</w:t>
      </w:r>
    </w:p>
    <w:p>
      <w:pPr>
        <w:pStyle w:val="BodyText"/>
        <w:rPr>
          <w:sz w:val="22"/>
        </w:rPr>
      </w:pPr>
      <w:r>
        <w:rPr>
          <w:sz w:val="22"/>
        </w:rPr>
      </w:r>
    </w:p>
    <w:p>
      <w:pPr>
        <w:pStyle w:val="BodyText"/>
        <w:rPr>
          <w:sz w:val="22"/>
        </w:rPr>
      </w:pPr>
      <w:r>
        <w:rPr>
          <w:sz w:val="22"/>
        </w:rPr>
        <w:t xml:space="preserve">4.  Operating Procedure between Public Service Company of New Mexico, Navajo Tribal Utility Authority, TW and ENA </w:t>
      </w:r>
      <w:r>
        <w:rPr>
          <w:b/>
          <w:bCs/>
          <w:sz w:val="22"/>
        </w:rPr>
        <w:t>[THIS IS A DEBTOR – WHAT ARE THE EFFECTS – GERALD PLEASE ADVISE].</w:t>
      </w:r>
    </w:p>
    <w:p>
      <w:pPr>
        <w:pStyle w:val="BodyText"/>
        <w:rPr>
          <w:sz w:val="22"/>
        </w:rPr>
      </w:pPr>
      <w:r>
        <w:rPr>
          <w:sz w:val="22"/>
        </w:rPr>
      </w:r>
    </w:p>
    <w:p>
      <w:pPr>
        <w:pStyle w:val="BodyText"/>
        <w:rPr>
          <w:sz w:val="22"/>
        </w:rPr>
      </w:pPr>
      <w:r>
        <w:rPr>
          <w:sz w:val="22"/>
        </w:rPr>
        <w:t>5.  Enfolio Master Firm Purchase/Sale Agreement between LLC and ECS dated June 30, 1999.</w:t>
      </w:r>
    </w:p>
    <w:p>
      <w:pPr>
        <w:pStyle w:val="BodyText"/>
        <w:rPr>
          <w:sz w:val="22"/>
        </w:rPr>
      </w:pPr>
      <w:r>
        <w:rPr>
          <w:sz w:val="22"/>
        </w:rPr>
      </w:r>
    </w:p>
    <w:p>
      <w:pPr>
        <w:pStyle w:val="BodyText"/>
        <w:rPr>
          <w:sz w:val="22"/>
        </w:rPr>
      </w:pPr>
      <w:r>
        <w:rPr>
          <w:sz w:val="22"/>
        </w:rPr>
        <w:t>6.  Enfolio Master Firm Purchase/Sale Agreement between ECS and Enron Natural Gas Marketing Corp. dated June 30, 1999.</w:t>
      </w:r>
    </w:p>
    <w:p>
      <w:pPr>
        <w:pStyle w:val="Normal"/>
        <w:jc w:val="center"/>
        <w:rPr>
          <w:b/>
          <w:bCs/>
          <w:sz w:val="22"/>
          <w:u w:val="single"/>
        </w:rPr>
      </w:pPr>
      <w:r>
        <w:rPr>
          <w:b/>
          <w:bCs/>
          <w:sz w:val="22"/>
          <w:u w:val="single"/>
        </w:rPr>
      </w:r>
    </w:p>
    <w:p>
      <w:pPr>
        <w:pStyle w:val="Heading2"/>
        <w:ind w:hanging="0" w:start="0"/>
        <w:rPr>
          <w:sz w:val="22"/>
        </w:rPr>
      </w:pPr>
      <w:r>
        <w:rPr/>
        <w:t>Gallup</w:t>
      </w:r>
    </w:p>
    <w:p>
      <w:pPr>
        <w:pStyle w:val="Normal"/>
        <w:jc w:val="both"/>
        <w:rPr>
          <w:sz w:val="22"/>
        </w:rPr>
      </w:pPr>
      <w:r>
        <w:rPr>
          <w:sz w:val="22"/>
        </w:rPr>
      </w:r>
    </w:p>
    <w:p>
      <w:pPr>
        <w:pStyle w:val="Normal"/>
        <w:jc w:val="center"/>
        <w:rPr>
          <w:sz w:val="22"/>
        </w:rPr>
      </w:pPr>
      <w:r>
        <w:rPr>
          <w:sz w:val="22"/>
        </w:rPr>
        <w:t>GALLUP CONTRACTS with DEBTOR ENTITIES</w:t>
      </w:r>
    </w:p>
    <w:p>
      <w:pPr>
        <w:pStyle w:val="Normal"/>
        <w:jc w:val="both"/>
        <w:rPr>
          <w:sz w:val="22"/>
        </w:rPr>
      </w:pPr>
      <w:r>
        <w:rPr>
          <w:sz w:val="22"/>
        </w:rPr>
      </w:r>
    </w:p>
    <w:p>
      <w:pPr>
        <w:pStyle w:val="BodyText"/>
        <w:rPr/>
      </w:pPr>
      <w:r>
        <w:rPr>
          <w:sz w:val="22"/>
        </w:rPr>
        <w:t xml:space="preserve">1.  </w:t>
      </w:r>
      <w:r>
        <w:rPr>
          <w:b/>
          <w:bCs/>
          <w:sz w:val="22"/>
        </w:rPr>
        <w:t>Enfolio Master Firm Purchase/Sale Agreement dated March 30, 2000 between ECS and ENA</w:t>
      </w:r>
      <w:r>
        <w:rPr>
          <w:sz w:val="22"/>
        </w:rPr>
        <w:t xml:space="preserve"> – This contract backs the gas purchase from LLC and ECS.</w:t>
      </w:r>
    </w:p>
    <w:p>
      <w:pPr>
        <w:pStyle w:val="BodyText"/>
        <w:rPr>
          <w:sz w:val="22"/>
        </w:rPr>
      </w:pPr>
      <w:r>
        <w:rPr>
          <w:sz w:val="22"/>
        </w:rPr>
      </w:r>
    </w:p>
    <w:p>
      <w:pPr>
        <w:pStyle w:val="BodyText"/>
        <w:ind w:start="720" w:end="0"/>
        <w:rPr>
          <w:sz w:val="22"/>
        </w:rPr>
      </w:pPr>
      <w:r>
        <w:rPr>
          <w:sz w:val="22"/>
        </w:rPr>
        <w:t>Contract terminated automatically on December 2, 2001 upon ENA’s filing of bankruptcy.</w:t>
      </w:r>
    </w:p>
    <w:p>
      <w:pPr>
        <w:pStyle w:val="BodyText"/>
        <w:rPr>
          <w:sz w:val="22"/>
        </w:rPr>
      </w:pPr>
      <w:r>
        <w:rPr>
          <w:sz w:val="22"/>
        </w:rPr>
      </w:r>
    </w:p>
    <w:p>
      <w:pPr>
        <w:pStyle w:val="BodyText"/>
        <w:rPr/>
      </w:pPr>
      <w:r>
        <w:rPr>
          <w:sz w:val="22"/>
        </w:rPr>
        <w:t xml:space="preserve">2.  </w:t>
      </w:r>
      <w:r>
        <w:rPr>
          <w:b/>
          <w:bCs/>
          <w:sz w:val="22"/>
        </w:rPr>
        <w:t>Deemed ISDA between ECHO and ENA dated March 30, 2000</w:t>
      </w:r>
      <w:r>
        <w:rPr>
          <w:sz w:val="22"/>
        </w:rPr>
        <w:t xml:space="preserve"> – Fixed for floating interest rate swap which provides ECHO’s fixed interest rate.</w:t>
      </w:r>
    </w:p>
    <w:p>
      <w:pPr>
        <w:pStyle w:val="BodyText"/>
        <w:rPr>
          <w:sz w:val="22"/>
        </w:rPr>
      </w:pPr>
      <w:r>
        <w:rPr>
          <w:sz w:val="22"/>
        </w:rPr>
      </w:r>
    </w:p>
    <w:p>
      <w:pPr>
        <w:pStyle w:val="BodyText"/>
        <w:ind w:start="720" w:end="0"/>
        <w:rPr>
          <w:sz w:val="22"/>
        </w:rPr>
      </w:pPr>
      <w:r>
        <w:rPr>
          <w:sz w:val="22"/>
        </w:rPr>
        <w:t>Bankruptcy is an event of default.  Not terminated unless ECHO provides notice of termination and designates an early termination date.</w:t>
      </w:r>
    </w:p>
    <w:p>
      <w:pPr>
        <w:pStyle w:val="BodyText"/>
        <w:rPr>
          <w:sz w:val="22"/>
        </w:rPr>
      </w:pPr>
      <w:r>
        <w:rPr>
          <w:sz w:val="22"/>
        </w:rPr>
      </w:r>
    </w:p>
    <w:p>
      <w:pPr>
        <w:pStyle w:val="BodyText"/>
        <w:rPr>
          <w:sz w:val="22"/>
        </w:rPr>
      </w:pPr>
      <w:r>
        <w:rPr>
          <w:sz w:val="22"/>
        </w:rPr>
      </w:r>
    </w:p>
    <w:p>
      <w:pPr>
        <w:pStyle w:val="BodyText"/>
        <w:jc w:val="center"/>
        <w:rPr>
          <w:sz w:val="22"/>
        </w:rPr>
      </w:pPr>
      <w:r>
        <w:rPr>
          <w:sz w:val="22"/>
        </w:rPr>
        <w:t>GALLUP CONTRACTS WITH NON-DEBTOR ENTITIES</w:t>
      </w:r>
    </w:p>
    <w:p>
      <w:pPr>
        <w:pStyle w:val="BodyText"/>
        <w:jc w:val="center"/>
        <w:rPr>
          <w:sz w:val="22"/>
        </w:rPr>
      </w:pPr>
      <w:r>
        <w:rPr>
          <w:sz w:val="22"/>
        </w:rPr>
      </w:r>
    </w:p>
    <w:p>
      <w:pPr>
        <w:pStyle w:val="BodyText"/>
        <w:rPr>
          <w:sz w:val="22"/>
        </w:rPr>
      </w:pPr>
      <w:r>
        <w:rPr>
          <w:sz w:val="22"/>
        </w:rPr>
        <w:t>1.  Compression Services Agreement between LLC and TW dated October 18, 1999.</w:t>
      </w:r>
    </w:p>
    <w:p>
      <w:pPr>
        <w:pStyle w:val="BodyText"/>
        <w:ind w:start="720" w:end="0"/>
        <w:rPr>
          <w:sz w:val="22"/>
        </w:rPr>
      </w:pPr>
      <w:r>
        <w:rPr>
          <w:sz w:val="22"/>
        </w:rPr>
      </w:r>
    </w:p>
    <w:p>
      <w:pPr>
        <w:pStyle w:val="BodyText"/>
        <w:rPr>
          <w:sz w:val="22"/>
        </w:rPr>
      </w:pPr>
      <w:r>
        <w:rPr>
          <w:sz w:val="22"/>
        </w:rPr>
        <w:t>2.  Gas Conversion Agreement between LLC and TW dated October 18, 1999, as amended on March 24, 2000, and associated letter agreements.</w:t>
      </w:r>
    </w:p>
    <w:p>
      <w:pPr>
        <w:pStyle w:val="BodyText"/>
        <w:ind w:start="720" w:end="0"/>
        <w:rPr>
          <w:sz w:val="22"/>
        </w:rPr>
      </w:pPr>
      <w:r>
        <w:rPr>
          <w:sz w:val="22"/>
        </w:rPr>
      </w:r>
    </w:p>
    <w:p>
      <w:pPr>
        <w:pStyle w:val="BodyText"/>
        <w:rPr>
          <w:sz w:val="22"/>
        </w:rPr>
      </w:pPr>
      <w:r>
        <w:rPr>
          <w:sz w:val="22"/>
        </w:rPr>
        <w:t>3.  Operations and Maintenance Agreement between LLC and TW dated October 18, 1999.</w:t>
      </w:r>
    </w:p>
    <w:p>
      <w:pPr>
        <w:pStyle w:val="BodyText"/>
        <w:ind w:start="720" w:end="0"/>
        <w:rPr>
          <w:sz w:val="22"/>
        </w:rPr>
      </w:pPr>
      <w:r>
        <w:rPr>
          <w:sz w:val="22"/>
        </w:rPr>
      </w:r>
    </w:p>
    <w:p>
      <w:pPr>
        <w:pStyle w:val="BodyText"/>
        <w:rPr>
          <w:sz w:val="22"/>
        </w:rPr>
      </w:pPr>
      <w:r>
        <w:rPr>
          <w:sz w:val="22"/>
        </w:rPr>
        <w:t>4.  Operational Control Agreement between LLC and TW dated February 11, 2000.</w:t>
      </w:r>
    </w:p>
    <w:p>
      <w:pPr>
        <w:pStyle w:val="BodyText"/>
        <w:ind w:start="720" w:end="0"/>
        <w:rPr>
          <w:sz w:val="22"/>
        </w:rPr>
      </w:pPr>
      <w:r>
        <w:rPr>
          <w:sz w:val="22"/>
        </w:rPr>
      </w:r>
    </w:p>
    <w:p>
      <w:pPr>
        <w:pStyle w:val="BodyText"/>
        <w:rPr>
          <w:sz w:val="22"/>
        </w:rPr>
      </w:pPr>
      <w:r>
        <w:rPr>
          <w:sz w:val="22"/>
        </w:rPr>
        <w:t>5.  Electric Service Agreement between LLC and Continental Divide Electric Cooperative, Inc. dated March 20, 2000.</w:t>
      </w:r>
    </w:p>
    <w:p>
      <w:pPr>
        <w:pStyle w:val="BodyText"/>
        <w:rPr>
          <w:sz w:val="22"/>
        </w:rPr>
      </w:pPr>
      <w:r>
        <w:rPr>
          <w:sz w:val="22"/>
        </w:rPr>
      </w:r>
    </w:p>
    <w:p>
      <w:pPr>
        <w:pStyle w:val="BodyText"/>
        <w:rPr>
          <w:sz w:val="22"/>
        </w:rPr>
      </w:pPr>
      <w:r>
        <w:rPr>
          <w:sz w:val="22"/>
        </w:rPr>
        <w:t>6.  Enfolio Master Firm Purchase/Sale Agreement between LLC and ECS dated June 30, 1999.</w:t>
      </w:r>
    </w:p>
    <w:p>
      <w:pPr>
        <w:pStyle w:val="BodyText"/>
        <w:rPr>
          <w:sz w:val="22"/>
        </w:rPr>
      </w:pPr>
      <w:r>
        <w:rPr>
          <w:sz w:val="22"/>
        </w:rPr>
      </w:r>
    </w:p>
    <w:p>
      <w:pPr>
        <w:pStyle w:val="BodyText"/>
        <w:rPr>
          <w:b/>
          <w:bCs/>
          <w:sz w:val="22"/>
          <w:u w:val="single"/>
        </w:rPr>
      </w:pPr>
      <w:r>
        <w:rPr>
          <w:b/>
          <w:bCs/>
          <w:sz w:val="22"/>
          <w:u w:val="single"/>
        </w:rPr>
        <w:t>[Gerald is there a gas agreement between ECS and ENA (or other gas subsidiary) like on the other deals???]</w:t>
      </w:r>
    </w:p>
    <w:p>
      <w:pPr>
        <w:pStyle w:val="BodyText"/>
        <w:ind w:start="720" w:end="0"/>
        <w:rPr>
          <w:b/>
          <w:bCs/>
          <w:sz w:val="22"/>
          <w:u w:val="single"/>
        </w:rPr>
      </w:pPr>
      <w:r>
        <w:rPr>
          <w:b/>
          <w:bCs/>
          <w:sz w:val="22"/>
          <w:u w:val="single"/>
        </w:rPr>
      </w:r>
    </w:p>
    <w:p>
      <w:pPr>
        <w:pStyle w:val="Normal"/>
        <w:rPr>
          <w:b/>
          <w:bCs/>
          <w:sz w:val="22"/>
        </w:rPr>
      </w:pPr>
      <w:r>
        <w:rPr>
          <w:b/>
          <w:bCs/>
          <w:sz w:val="22"/>
        </w:rPr>
      </w:r>
    </w:p>
    <w:p>
      <w:pPr>
        <w:pStyle w:val="Normal"/>
        <w:rPr>
          <w:b/>
          <w:bCs/>
        </w:rPr>
      </w:pPr>
      <w:r>
        <w:rPr>
          <w:b/>
          <w:bCs/>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/mnt/main-storage/datasets/enron-docs/doc/ECS_LLC_Internal_Memo_v2.doc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2001-12-14T19:48:00Z</dcterms:created>
  <dc:creator>szisman</dc:creator>
  <dc:description/>
  <dc:language>en-CA</dc:language>
  <cp:lastModifiedBy>szisman</cp:lastModifiedBy>
  <cp:lastPrinted>2001-12-14T17:11:00Z</cp:lastPrinted>
  <dcterms:modified xsi:type="dcterms:W3CDTF">2001-12-14T20:41:00Z</dcterms:modified>
  <cp:revision>5</cp:revision>
  <dc:subject/>
  <dc:title>Internal Memorandum</dc:title>
</cp:coreProperties>
</file>