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"C"</w:t>
      </w:r>
    </w:p>
    <w:p>
      <w:pPr>
        <w:pStyle w:val="Normal"/>
        <w:jc w:val="center"/>
        <w:rPr>
          <w:rFonts w:ascii="Arial Narrow" w:hAnsi="Arial Narrow" w:cs="Arial Narrow"/>
          <w:b/>
          <w:sz w:val="18"/>
          <w:u w:val="single"/>
        </w:rPr>
      </w:pPr>
      <w:r>
        <w:rPr>
          <w:rFonts w:cs="Arial Narrow" w:ascii="Arial Narrow" w:hAnsi="Arial Narrow"/>
          <w:b/>
          <w:sz w:val="18"/>
        </w:rPr>
        <w:t>(Gallup)</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DAILY CONTRACT QUANTITY (DCQ):</w:t>
        <w:tab/>
        <w:tab/>
        <w:t xml:space="preserve">   </w:t>
      </w:r>
      <w:r>
        <w:rPr>
          <w:rFonts w:cs="Arial Narrow" w:ascii="Arial Narrow" w:hAnsi="Arial Narrow"/>
          <w:sz w:val="18"/>
          <w:u w:val="single"/>
        </w:rPr>
        <w:t>See Note 1 below______________________</w:t>
      </w:r>
    </w:p>
    <w:p>
      <w:pPr>
        <w:pStyle w:val="Normal"/>
        <w:tabs>
          <w:tab w:val="clear" w:pos="720"/>
          <w:tab w:val="left" w:pos="8640" w:leader="none"/>
        </w:tabs>
        <w:ind w:hanging="5580" w:start="5580" w:end="0"/>
        <w:jc w:val="both"/>
        <w:rPr/>
      </w:pPr>
      <w:r>
        <w:rPr>
          <w:rFonts w:cs="Arial Narrow" w:ascii="Arial Narrow" w:hAnsi="Arial Narrow"/>
          <w:sz w:val="18"/>
        </w:rPr>
        <w:t>MINDQ:</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 xml:space="preserve">May 1, 2000 through April 30, 2010_         _  </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dated June 30, 1999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and the DCQ each shall equal the total Gas received by Seller as the Annual Charge Fuel Payment plus the Compression Services Charge Fuel Payment under the terms of that certain Gas Conversion Agreement (Gallup Compressor Station) between Seller and Transwestern Pipeline Company dated October 18, 1999 (the "Gas Agreement").</w:t>
      </w:r>
    </w:p>
    <w:p>
      <w:pPr>
        <w:pStyle w:val="BodyText"/>
        <w:rPr>
          <w:sz w:val="22"/>
        </w:rPr>
      </w:pPr>
      <w:r>
        <w:rPr>
          <w:sz w:val="22"/>
        </w:rPr>
      </w:r>
    </w:p>
    <w:p>
      <w:pPr>
        <w:pStyle w:val="BodyText"/>
        <w:rPr/>
      </w:pPr>
      <w:r>
        <w:rPr>
          <w:sz w:val="22"/>
          <w:u w:val="single"/>
        </w:rPr>
        <w:t>Note 2</w:t>
      </w:r>
      <w:r>
        <w:rPr>
          <w:sz w:val="22"/>
        </w:rPr>
        <w:t>:  The Contract Price under this Transaction Agreement "C" (Gallup) for the Annual Charge Fuel Payment and the Compression Services Charge Fuel Payment, as such terms are defined under the Gas Agreement, shall be as set forth below:</w:t>
      </w:r>
    </w:p>
    <w:p>
      <w:pPr>
        <w:pStyle w:val="BodyText"/>
        <w:rPr>
          <w:sz w:val="22"/>
        </w:rPr>
      </w:pPr>
      <w:r>
        <w:rPr>
          <w:sz w:val="22"/>
        </w:rPr>
      </w:r>
    </w:p>
    <w:p>
      <w:pPr>
        <w:pStyle w:val="BodyText"/>
        <w:rPr>
          <w:sz w:val="22"/>
        </w:rPr>
      </w:pPr>
      <w:r>
        <w:rPr>
          <w:sz w:val="22"/>
        </w:rPr>
        <w:t>Compression Services Charge Fuel Payment:</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May 1, 2000 thru April 30, 2010</w:t>
        <w:tab/>
        <w:tab/>
        <w:tab/>
        <w:tab/>
        <w:t>2.44</w:t>
      </w:r>
    </w:p>
    <w:p>
      <w:pPr>
        <w:pStyle w:val="BodyText"/>
        <w:rPr>
          <w:sz w:val="22"/>
        </w:rPr>
      </w:pPr>
      <w:r>
        <w:rPr>
          <w:sz w:val="22"/>
        </w:rPr>
      </w:r>
    </w:p>
    <w:p>
      <w:pPr>
        <w:pStyle w:val="BodyText"/>
        <w:rPr>
          <w:sz w:val="22"/>
        </w:rPr>
      </w:pPr>
      <w:r>
        <w:rPr>
          <w:sz w:val="22"/>
        </w:rPr>
        <w:t>Annual Charge Fuel Payment:</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May 1, 2000 thru May 31, 2000</w:t>
        <w:tab/>
        <w:tab/>
        <w:tab/>
        <w:tab/>
        <w:t>1.20</w:t>
      </w:r>
    </w:p>
    <w:p>
      <w:pPr>
        <w:pStyle w:val="BodyText"/>
        <w:rPr>
          <w:sz w:val="22"/>
        </w:rPr>
      </w:pPr>
      <w:r>
        <w:rPr>
          <w:sz w:val="22"/>
        </w:rPr>
        <w:tab/>
        <w:t>June 1, 2000 thru September 30, 2000</w:t>
        <w:tab/>
        <w:tab/>
        <w:tab/>
        <w:t>2.27</w:t>
      </w:r>
    </w:p>
    <w:p>
      <w:pPr>
        <w:pStyle w:val="BodyText"/>
        <w:rPr>
          <w:sz w:val="22"/>
        </w:rPr>
      </w:pPr>
      <w:r>
        <w:rPr>
          <w:sz w:val="22"/>
        </w:rPr>
        <w:tab/>
        <w:t>October 1, 2000 thru June 30, 2001</w:t>
        <w:tab/>
        <w:tab/>
        <w:tab/>
        <w:t>2.25</w:t>
      </w:r>
    </w:p>
    <w:p>
      <w:pPr>
        <w:pStyle w:val="BodyText"/>
        <w:rPr>
          <w:sz w:val="22"/>
        </w:rPr>
      </w:pPr>
      <w:r>
        <w:rPr>
          <w:sz w:val="22"/>
        </w:rPr>
        <w:tab/>
        <w:t>July 1, 2001 thru September 30, 2001</w:t>
        <w:tab/>
        <w:tab/>
        <w:tab/>
        <w:t>2.27</w:t>
      </w:r>
    </w:p>
    <w:p>
      <w:pPr>
        <w:pStyle w:val="BodyText"/>
        <w:rPr>
          <w:sz w:val="22"/>
        </w:rPr>
      </w:pPr>
      <w:r>
        <w:rPr>
          <w:sz w:val="22"/>
        </w:rPr>
        <w:tab/>
        <w:t>October 1, 2001 thru December 31, 2001</w:t>
        <w:tab/>
        <w:tab/>
        <w:tab/>
        <w:t>2.35</w:t>
      </w:r>
    </w:p>
    <w:p>
      <w:pPr>
        <w:pStyle w:val="BodyText"/>
        <w:rPr>
          <w:sz w:val="22"/>
        </w:rPr>
      </w:pPr>
      <w:r>
        <w:rPr>
          <w:sz w:val="22"/>
        </w:rPr>
        <w:tab/>
        <w:t>January 1, 2002 thru June 30, 2002</w:t>
        <w:tab/>
        <w:tab/>
        <w:tab/>
        <w:t>2.40</w:t>
      </w:r>
    </w:p>
    <w:p>
      <w:pPr>
        <w:pStyle w:val="BodyText"/>
        <w:rPr>
          <w:sz w:val="22"/>
        </w:rPr>
      </w:pPr>
      <w:r>
        <w:rPr>
          <w:sz w:val="22"/>
        </w:rPr>
        <w:tab/>
        <w:t>July 1, 2002 thru September 30, 2002</w:t>
        <w:tab/>
        <w:tab/>
        <w:tab/>
        <w:t>2.29</w:t>
      </w:r>
    </w:p>
    <w:p>
      <w:pPr>
        <w:pStyle w:val="BodyText"/>
        <w:rPr>
          <w:sz w:val="22"/>
        </w:rPr>
      </w:pPr>
      <w:r>
        <w:rPr>
          <w:sz w:val="22"/>
        </w:rPr>
        <w:tab/>
        <w:t>October 1, 2002 thru December 31, 2002</w:t>
        <w:tab/>
        <w:tab/>
        <w:tab/>
        <w:t>2.30</w:t>
      </w:r>
    </w:p>
    <w:p>
      <w:pPr>
        <w:pStyle w:val="BodyText"/>
        <w:rPr>
          <w:sz w:val="22"/>
        </w:rPr>
      </w:pPr>
      <w:r>
        <w:rPr>
          <w:sz w:val="22"/>
        </w:rPr>
        <w:tab/>
        <w:t>January 1, 2003 thru June 30, 2003</w:t>
        <w:tab/>
        <w:tab/>
        <w:tab/>
        <w:t>2.35</w:t>
      </w:r>
    </w:p>
    <w:p>
      <w:pPr>
        <w:pStyle w:val="BodyText"/>
        <w:rPr>
          <w:sz w:val="22"/>
        </w:rPr>
      </w:pPr>
      <w:r>
        <w:rPr>
          <w:sz w:val="22"/>
        </w:rPr>
        <w:tab/>
        <w:t>July 1, 2003 thru September 30, 2003</w:t>
        <w:tab/>
        <w:tab/>
        <w:tab/>
        <w:t>2.36</w:t>
      </w:r>
    </w:p>
    <w:p>
      <w:pPr>
        <w:pStyle w:val="BodyText"/>
        <w:rPr>
          <w:sz w:val="22"/>
        </w:rPr>
      </w:pPr>
      <w:r>
        <w:rPr>
          <w:sz w:val="22"/>
        </w:rPr>
        <w:tab/>
        <w:t>October 1, 2003 thru December 31, 2003</w:t>
        <w:tab/>
        <w:tab/>
        <w:tab/>
        <w:t>2.37</w:t>
      </w:r>
    </w:p>
    <w:p>
      <w:pPr>
        <w:pStyle w:val="BodyText"/>
        <w:rPr>
          <w:sz w:val="22"/>
        </w:rPr>
      </w:pPr>
      <w:r>
        <w:rPr>
          <w:sz w:val="22"/>
        </w:rPr>
        <w:tab/>
        <w:t>January 1, 2004 thru June 30, 2004</w:t>
        <w:tab/>
        <w:tab/>
        <w:tab/>
        <w:t>2.41</w:t>
      </w:r>
    </w:p>
    <w:p>
      <w:pPr>
        <w:pStyle w:val="BodyText"/>
        <w:rPr>
          <w:sz w:val="22"/>
        </w:rPr>
      </w:pPr>
      <w:r>
        <w:rPr>
          <w:sz w:val="22"/>
        </w:rPr>
        <w:tab/>
        <w:t>July 1, 2004 thru September 30, 2004</w:t>
        <w:tab/>
        <w:tab/>
        <w:tab/>
        <w:t>2.42</w:t>
      </w:r>
    </w:p>
    <w:p>
      <w:pPr>
        <w:pStyle w:val="BodyText"/>
        <w:rPr>
          <w:sz w:val="22"/>
        </w:rPr>
      </w:pPr>
      <w:r>
        <w:rPr>
          <w:sz w:val="22"/>
        </w:rPr>
        <w:tab/>
        <w:t>October 1, 2004 thru December 30, 2004</w:t>
        <w:tab/>
        <w:tab/>
        <w:tab/>
        <w:t>2.43</w:t>
      </w:r>
    </w:p>
    <w:p>
      <w:pPr>
        <w:pStyle w:val="BodyText"/>
        <w:rPr>
          <w:sz w:val="22"/>
        </w:rPr>
      </w:pPr>
      <w:r>
        <w:rPr>
          <w:sz w:val="22"/>
        </w:rPr>
        <w:tab/>
        <w:t>January 1, 2005 thru March 31, 2005</w:t>
        <w:tab/>
        <w:tab/>
        <w:tab/>
        <w:t>2.47</w:t>
      </w:r>
    </w:p>
    <w:p>
      <w:pPr>
        <w:pStyle w:val="BodyText"/>
        <w:rPr>
          <w:sz w:val="22"/>
        </w:rPr>
      </w:pPr>
      <w:r>
        <w:rPr>
          <w:sz w:val="22"/>
        </w:rPr>
        <w:tab/>
        <w:t>April 1, 2005 thru June 30, 2005</w:t>
        <w:tab/>
        <w:tab/>
        <w:tab/>
        <w:tab/>
        <w:t>2.48</w:t>
      </w:r>
    </w:p>
    <w:p>
      <w:pPr>
        <w:pStyle w:val="BodyText"/>
        <w:rPr>
          <w:sz w:val="22"/>
        </w:rPr>
      </w:pPr>
      <w:r>
        <w:rPr>
          <w:sz w:val="22"/>
        </w:rPr>
        <w:tab/>
        <w:t>July 1, 2005 thru September 30, 2005</w:t>
        <w:tab/>
        <w:tab/>
        <w:tab/>
        <w:t>2.49</w:t>
      </w:r>
    </w:p>
    <w:p>
      <w:pPr>
        <w:pStyle w:val="BodyText"/>
        <w:rPr>
          <w:sz w:val="22"/>
        </w:rPr>
      </w:pPr>
      <w:r>
        <w:rPr>
          <w:sz w:val="22"/>
        </w:rPr>
        <w:tab/>
        <w:t>October 1, 2005 thru December 31, 2005</w:t>
        <w:tab/>
        <w:tab/>
        <w:tab/>
        <w:t>2.50</w:t>
      </w:r>
    </w:p>
    <w:p>
      <w:pPr>
        <w:pStyle w:val="BodyText"/>
        <w:rPr>
          <w:sz w:val="22"/>
        </w:rPr>
      </w:pPr>
      <w:r>
        <w:rPr>
          <w:sz w:val="22"/>
        </w:rPr>
        <w:tab/>
        <w:t>January 1, 2006 thru March 31, 2006</w:t>
        <w:tab/>
        <w:tab/>
        <w:tab/>
        <w:t>2.52</w:t>
      </w:r>
    </w:p>
    <w:p>
      <w:pPr>
        <w:pStyle w:val="BodyText"/>
        <w:rPr>
          <w:sz w:val="22"/>
        </w:rPr>
      </w:pPr>
      <w:r>
        <w:rPr>
          <w:sz w:val="22"/>
        </w:rPr>
        <w:tab/>
        <w:t>April 1, 2006 thru June 30, 2006</w:t>
        <w:tab/>
        <w:tab/>
        <w:tab/>
        <w:tab/>
        <w:t>2.53</w:t>
      </w:r>
    </w:p>
    <w:p>
      <w:pPr>
        <w:pStyle w:val="BodyText"/>
        <w:rPr>
          <w:sz w:val="22"/>
        </w:rPr>
      </w:pPr>
      <w:r>
        <w:rPr>
          <w:sz w:val="22"/>
        </w:rPr>
        <w:tab/>
        <w:t>July 1, 2006 thru September 30, 2006</w:t>
        <w:tab/>
        <w:tab/>
        <w:tab/>
        <w:t>2.55</w:t>
      </w:r>
    </w:p>
    <w:p>
      <w:pPr>
        <w:pStyle w:val="BodyText"/>
        <w:rPr>
          <w:sz w:val="22"/>
        </w:rPr>
      </w:pPr>
      <w:r>
        <w:rPr>
          <w:sz w:val="22"/>
        </w:rPr>
        <w:tab/>
        <w:t>October 1, 2006 thru December 31, 2006</w:t>
        <w:tab/>
        <w:tab/>
        <w:tab/>
        <w:t>2.56</w:t>
      </w:r>
    </w:p>
    <w:p>
      <w:pPr>
        <w:pStyle w:val="BodyText"/>
        <w:rPr>
          <w:sz w:val="22"/>
        </w:rPr>
      </w:pPr>
      <w:r>
        <w:rPr>
          <w:sz w:val="22"/>
        </w:rPr>
        <w:tab/>
        <w:t>January 1, 2007 thru March 31, 2007</w:t>
        <w:tab/>
        <w:tab/>
        <w:tab/>
        <w:t>2.57</w:t>
      </w:r>
    </w:p>
    <w:p>
      <w:pPr>
        <w:pStyle w:val="BodyText"/>
        <w:rPr>
          <w:sz w:val="22"/>
        </w:rPr>
      </w:pPr>
      <w:r>
        <w:rPr>
          <w:sz w:val="22"/>
        </w:rPr>
        <w:tab/>
        <w:t>April 1, 2007 thru June 30, 2007</w:t>
        <w:tab/>
        <w:tab/>
        <w:tab/>
        <w:tab/>
        <w:t>2.58</w:t>
      </w:r>
    </w:p>
    <w:p>
      <w:pPr>
        <w:pStyle w:val="BodyText"/>
        <w:rPr>
          <w:sz w:val="22"/>
        </w:rPr>
      </w:pPr>
      <w:r>
        <w:rPr>
          <w:sz w:val="22"/>
        </w:rPr>
        <w:tab/>
        <w:t>July 1, 2007 thru September 30, 2007</w:t>
        <w:tab/>
        <w:tab/>
        <w:tab/>
        <w:t>2.59</w:t>
      </w:r>
    </w:p>
    <w:p>
      <w:pPr>
        <w:pStyle w:val="BodyText"/>
        <w:rPr>
          <w:sz w:val="22"/>
        </w:rPr>
      </w:pPr>
      <w:r>
        <w:rPr>
          <w:sz w:val="22"/>
        </w:rPr>
        <w:tab/>
        <w:t>October 1, 2007 thru April 30, 2010</w:t>
        <w:tab/>
        <w:tab/>
        <w:tab/>
        <w:t>1.24</w:t>
      </w:r>
    </w:p>
    <w:p>
      <w:pPr>
        <w:pStyle w:val="BodyText"/>
        <w:rPr>
          <w:sz w:val="22"/>
        </w:rPr>
      </w:pPr>
      <w:r>
        <w:rPr>
          <w:sz w:val="22"/>
        </w:rPr>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ind w:hanging="0" w:end="0"/>
              <w:rPr>
                <w:rFonts w:ascii="Arial Narrow" w:hAnsi="Arial Narrow" w:cs="Arial Narrow"/>
                <w:b/>
                <w:sz w:val="18"/>
              </w:rPr>
            </w:pPr>
            <w:r>
              <w:rPr>
                <w:sz w:val="22"/>
              </w:rPr>
              <w:tab/>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BodyText3"/>
        <w:jc w:val="both"/>
        <w:rPr/>
      </w:pPr>
      <w:r>
        <w:rPr>
          <w:sz w:val="22"/>
          <w:u w:val="single"/>
        </w:rPr>
        <w:t>Other Terms</w:t>
      </w:r>
      <w:r>
        <w:rPr>
          <w:sz w:val="22"/>
        </w:rPr>
        <w:t xml:space="preserve">:  In addition to the Contract Price payable monthly according to the terms and conditions of this Transaction Agreement "C" (Gallup) to the ENFOLIO Master Firm Purchase Agreement in effect between Customer and Company, Company shall pay to Customer on March 29, 2000, a one time buy down payment of $3,328,796.00 as additional consideration. </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sz w:val="16"/>
      </w:rPr>
      <w:t>GNEMEC\Compression Services</w:t>
    </w:r>
  </w:p>
  <w:p>
    <w:pPr>
      <w:pStyle w:val="Footer"/>
      <w:rPr>
        <w:sz w:val="16"/>
        <w:lang w:eastAsia="en-US"/>
      </w:rPr>
    </w:pPr>
    <w:r>
      <w:rPr>
        <w:sz w:val="16"/>
        <w:lang w:eastAsia="en-US"/>
      </w:rPr>
      <w:t>ECS Gas Purchase Agreement Confirm.doc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2000-03-23T18:07:00Z</dcterms:created>
  <dc:creator>gnemec</dc:creator>
  <dc:description/>
  <dc:language>en-CA</dc:language>
  <cp:lastModifiedBy>gnemec</cp:lastModifiedBy>
  <cp:lastPrinted>2000-03-24T15:33:00Z</cp:lastPrinted>
  <dcterms:modified xsi:type="dcterms:W3CDTF">2000-03-24T19:15:00Z</dcterms:modified>
  <cp:revision>19</cp:revision>
  <dc:subject/>
  <dc:title>ENFOLIO MASTER FIRM PURCHASE AGREEMENT</dc:title>
</cp:coreProperties>
</file>