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Compression Services Company, a Delaware corporation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ECS Compression Company, L.L.C., a Delaware limited liability company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June, 1999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6.4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except with respect to the limitations herein imposed upon the DCQ or MaxDQ and the duration of the Period of Delivery.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three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6.4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6.4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calculation of the Termination Payment by the Notifying Party shall be as set forth in </w:t>
      </w:r>
      <w:r>
        <w:rPr>
          <w:rFonts w:cs="Arial Narrow" w:ascii="Arial Narrow" w:hAnsi="Arial Narrow"/>
          <w:sz w:val="18"/>
          <w:u w:val="single"/>
        </w:rPr>
        <w:t>Section 3.2</w:t>
      </w:r>
      <w:r>
        <w:rPr>
          <w:rFonts w:cs="Arial Narrow" w:ascii="Arial Narrow" w:hAnsi="Arial Narrow"/>
          <w:sz w:val="18"/>
        </w:rPr>
        <w:t xml:space="preserve"> wherein Buyer is the Notifying Party, and as set forth in </w:t>
      </w:r>
      <w:r>
        <w:rPr>
          <w:rFonts w:cs="Arial Narrow" w:ascii="Arial Narrow" w:hAnsi="Arial Narrow"/>
          <w:sz w:val="18"/>
          <w:u w:val="single"/>
        </w:rPr>
        <w:t>Section 3.4</w:t>
      </w:r>
      <w:r>
        <w:rPr>
          <w:rFonts w:cs="Arial Narrow" w:ascii="Arial Narrow" w:hAnsi="Arial Narrow"/>
          <w:sz w:val="18"/>
        </w:rPr>
        <w:t xml:space="preserve"> wherein Seller is the Notifying Party, in each case as if no further Scheduling of Gas will occur after the Early Termination Date.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five or more Gas Days in a three Month period in any one Transaction or (vi) Buyer's unexcused failure to Schedule the DCQ or MinDQ for a cumulative period of five or more Gas Days in a three Month period in any one Transaction, or, if applicable, the MinMQ for a cumulative period of two Months in a three Month period in any one Transaction.</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6.3</w:t>
      </w:r>
      <w:r>
        <w:rPr>
          <w:rFonts w:cs="Arial Narrow" w:ascii="Arial Narrow" w:hAnsi="Arial Narrow"/>
          <w:sz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TITLE, RISK OF LOSS, INDEMNITY AND BALANCING</w:t>
      </w:r>
      <w:r>
        <w:rPr>
          <w:rFonts w:cs="Arial Narrow" w:ascii="Arial Narrow" w:hAnsi="Arial Narrow"/>
          <w:b/>
          <w:sz w:val="18"/>
        </w:rPr>
        <w:t xml:space="preserve">  5.1.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5.2.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MISCELLANEOUS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6.2.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rPr>
        <w:t>6.3.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NO WAIVER OF REMEDIES OR DAMAGES HEREIN SHALL APPLY TO CLAIMS OF ANTICIPATORY REPUDIATION AND REMEDIES THEREFOR PROVIDED BY LAW.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In this connection, the Parties recognize that the ability to effectuate arrangements for the sale or purchase of Gas is conditioned upon the volatility of Gas markets, the creditworthiness and reliability of  potential customers, the complexity and size of portfolios of contracts managed by each Party and the need to conduct orderly market business.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No claim that a Party failed to mitigate damages shall be grounded solely upon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6.5.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6.3</w:t>
      </w:r>
      <w:r>
        <w:rPr>
          <w:rFonts w:cs="Arial Narrow" w:ascii="Arial Narrow" w:hAnsi="Arial Narrow"/>
          <w:sz w:val="18"/>
        </w:rPr>
        <w:t xml:space="preserve">.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f:\legal\gnemec\ECS Gas Purchase.doc</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w:t>
      </w:r>
      <w:r>
        <w:rPr>
          <w:rFonts w:cs="Arial Narrow" w:ascii="Arial Narrow" w:hAnsi="Arial Narrow"/>
          <w:sz w:val="18"/>
          <w:u w:val="single"/>
        </w:rPr>
        <w:t>greater</w:t>
      </w:r>
      <w:r>
        <w:rPr>
          <w:rFonts w:cs="Arial Narrow" w:ascii="Arial Narrow" w:hAnsi="Arial Narrow"/>
          <w:sz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cs="Arial Narrow" w:ascii="Arial Narrow" w:hAnsi="Arial Narrow"/>
          <w:sz w:val="18"/>
          <w:u w:val="single"/>
        </w:rPr>
        <w:t>lesser</w:t>
      </w:r>
      <w:r>
        <w:rPr>
          <w:rFonts w:cs="Arial Narrow" w:ascii="Arial Narrow" w:hAnsi="Arial Narrow"/>
          <w:sz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 provided, at the election of the Notifying Party any Termination Payment may be calculated for the remaining term of the applicable Transaction(s) without reference to the Spot Price. </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agreed pursuant to a Transaction for the relevant Gas Day.  If there is no single“Daily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w:t>
      </w:r>
    </w:p>
    <w:p>
      <w:pPr>
        <w:pStyle w:val="Normal"/>
        <w:jc w:val="both"/>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r>
        <w:rPr>
          <w:rFonts w:cs="Arial Narrow" w:ascii="Arial Narrow" w:hAnsi="Arial Narrow"/>
          <w:sz w:val="18"/>
        </w:rPr>
        <w:t xml:space="preserve">.  </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confirmed by the facsimile listed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tion from the Delivery Point.  Seller represents that all Gas delivered hereunder shall meet or exceed the specifications of Buyer's Transporter.</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5</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Record Retention provisions set forth in this </w:t>
      </w:r>
      <w:r>
        <w:rPr>
          <w:rFonts w:cs="Arial Narrow" w:ascii="Arial Narrow" w:hAnsi="Arial Narrow"/>
          <w:sz w:val="18"/>
          <w:u w:val="single"/>
        </w:rPr>
        <w:t>Appendix "1"</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Allocation of and Indemnity for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or at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the Buyer is liable for and shall pay, cause to be paid, or reimburse Seller if Seller has paid, all Taxes applicable to the Gas sold downstream of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same.  Seller agrees to indemnify, defend and hold harmless Buyer against all Claims to or against the title of said Gas.  In the event a Claim is asserted to said Gas, Buyer, in addition to other remedies, may suspend its obligation to pay for said Gas up to the Claim.</w:t>
      </w:r>
    </w:p>
    <w:p>
      <w:pPr>
        <w:pStyle w:val="Normal"/>
        <w:jc w:val="both"/>
        <w:rPr/>
      </w:pPr>
      <w:r>
        <w:rPr>
          <w:rFonts w:cs="Arial Narrow" w:ascii="Symbol" w:hAnsi="Symbol"/>
          <w:b/>
          <w:sz w:val="18"/>
        </w:rPr>
        <w:sym w:font="Symbol" w:char="b7"/>
      </w:r>
      <w:r>
        <w:rPr>
          <w:rFonts w:cs="Arial Narrow" w:ascii="Arial Narrow" w:hAnsi="Arial Narrow"/>
          <w:b/>
          <w:sz w:val="18"/>
          <w:u w:val="single"/>
        </w:rPr>
        <w:t>Force Majeure</w:t>
      </w:r>
      <w:r>
        <w:rPr>
          <w:rFonts w:cs="Arial Narrow" w:ascii="Arial Narrow" w:hAnsi="Arial Narrow"/>
          <w:b/>
          <w:sz w:val="18"/>
        </w:rPr>
        <w:t xml:space="preserve"> </w:t>
      </w:r>
      <w:r>
        <w:rPr>
          <w:rFonts w:cs="Arial Narrow" w:ascii="Arial Narrow" w:hAnsi="Arial Narrow"/>
          <w:sz w:val="18"/>
        </w:rPr>
        <w:t>This provision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or MaxDQ, as applicable, or (ii) at points other than the Delivery Point(s).  </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indemnified event.</w:t>
      </w:r>
    </w:p>
    <w:p>
      <w:pPr>
        <w:pStyle w:val="Normal"/>
        <w:jc w:val="both"/>
        <w:rPr/>
      </w:pPr>
      <w:r>
        <w:rPr>
          <w:rFonts w:cs="Arial Narrow" w:ascii="Symbol" w:hAnsi="Symbol"/>
          <w:b/>
          <w:sz w:val="18"/>
        </w:rPr>
        <w:sym w:font="Symbol" w:char="b7"/>
      </w:r>
      <w:r>
        <w:rPr>
          <w:rFonts w:cs="Arial Narrow" w:ascii="Arial Narrow" w:hAnsi="Arial Narrow"/>
          <w:b/>
          <w:sz w:val="18"/>
          <w:u w:val="single"/>
        </w:rPr>
        <w:t>Document, Record Retention and Evidence</w:t>
      </w:r>
      <w:r>
        <w:rPr>
          <w:rFonts w:cs="Arial Narrow" w:ascii="Arial Narrow" w:hAnsi="Arial Narrow"/>
          <w:sz w:val="18"/>
        </w:rPr>
        <w:t xml:space="preserve"> This Agreement, the Exhibits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pPr>
      <w:r>
        <w:rPr>
          <w:rFonts w:cs="Arial Narrow" w:ascii="Symbol" w:hAnsi="Symbol"/>
          <w:b/>
          <w:sz w:val="18"/>
        </w:rPr>
        <w:sym w:font="Symbol" w:char="b7"/>
      </w:r>
      <w:r>
        <w:rPr>
          <w:rFonts w:cs="Arial Narrow" w:ascii="Arial Narrow" w:hAnsi="Arial Narrow"/>
          <w:b/>
          <w:sz w:val="18"/>
          <w:u w:val="single"/>
        </w:rPr>
        <w:t>Transfer</w:t>
      </w:r>
      <w:r>
        <w:rPr>
          <w:rFonts w:cs="Arial Narrow" w:ascii="Arial Narrow" w:hAnsi="Arial Narrow"/>
          <w:sz w:val="18"/>
        </w:rPr>
        <w:t>.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hereof shall be void.</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rFonts w:ascii="Arial Narrow" w:hAnsi="Arial Narrow" w:cs="Arial Narrow"/>
          <w:b/>
          <w:sz w:val="18"/>
        </w:rPr>
      </w:pPr>
      <w:r>
        <w:rPr>
          <w:rFonts w:cs="Arial Narrow" w:ascii="Arial Narrow" w:hAnsi="Arial Narrow"/>
          <w:b/>
          <w:sz w:val="18"/>
        </w:rPr>
      </w:r>
    </w:p>
    <w:p>
      <w:pPr>
        <w:pStyle w:val="Normal"/>
        <w:keepNext w:val="true"/>
        <w:jc w:val="center"/>
        <w:rPr>
          <w:rFonts w:ascii="Arial Narrow" w:hAnsi="Arial Narrow" w:cs="Arial Narrow"/>
          <w:b/>
          <w:sz w:val="18"/>
        </w:rPr>
      </w:pPr>
      <w:r>
        <w:rPr>
          <w:rFonts w:cs="Arial Narrow" w:ascii="Arial Narrow" w:hAnsi="Arial Narrow"/>
          <w:b/>
          <w:sz w:val="18"/>
        </w:rPr>
        <w:t>EXHIBIT "A"</w:t>
      </w:r>
    </w:p>
    <w:p>
      <w:pPr>
        <w:pStyle w:val="Normal"/>
        <w:keepNext w:val="true"/>
        <w:jc w:val="center"/>
        <w:rPr>
          <w:rFonts w:ascii="Arial Narrow" w:hAnsi="Arial Narrow" w:cs="Arial Narrow"/>
          <w:sz w:val="18"/>
        </w:rPr>
      </w:pPr>
      <w:r>
        <w:rPr>
          <w:rFonts w:cs="Arial Narrow" w:ascii="Arial Narrow" w:hAnsi="Arial Narrow"/>
          <w:sz w:val="18"/>
        </w:rPr>
        <w:t>ENFOLIO MASTER FIRM PURCHASE AGREEMENT</w:t>
      </w:r>
    </w:p>
    <w:p>
      <w:pPr>
        <w:pStyle w:val="Normal"/>
        <w:keepNext w:val="true"/>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Director, Compression Services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Director, Compression Services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Company to purchase and receive (Buyer) and Customer to sell and deliver (Seller).  Transaction number _________________________________.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(not to exceed 10,000 MMBTU)</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(not to exceed 10,000 MMBTU)</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(not to exceed six Months)</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310" w:leader="none"/>
          <w:tab w:val="left" w:pos="9180" w:leader="none"/>
        </w:tabs>
        <w:jc w:val="center"/>
        <w:rPr>
          <w:rFonts w:ascii="Arial Narrow" w:hAnsi="Arial Narrow" w:cs="Arial Narrow"/>
          <w:sz w:val="18"/>
          <w:u w:val="single"/>
        </w:rPr>
      </w:pPr>
      <w:r>
        <w:rPr>
          <w:rFonts w:cs="Arial Narrow" w:ascii="Arial Narrow" w:hAnsi="Arial Narrow"/>
          <w:b/>
          <w:sz w:val="18"/>
        </w:rPr>
        <w:t>SIGNATURE LINES FOR CUSTOMER AND COMPANY</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r>
      <w:rPr>
        <w:rFonts w:eastAsia="Arial Narrow" w:cs="Arial Narrow" w:ascii="Arial Narrow" w:hAnsi="Arial Narrow"/>
        <w:sz w:val="18"/>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r>
      <w:rPr>
        <w:rFonts w:cs="Arial Narrow" w:ascii="Arial Narrow" w:hAnsi="Arial Narrow"/>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 w:hAnsi="CG Times (W1)" w:cs="CG Times (W1)"/>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 w:hAnsi="CG Times (W1)" w:cs="CG Times (W1)"/>
      <w:sz w:val="26"/>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 w:hAnsi="CG Times (W1)" w:cs="CG Times (W1)"/>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 w:hAnsi="CG Times (W1)" w:cs="CG Times (W1)"/>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 w:hAnsi="CG Times (W1)" w:cs="CG Times (W1)"/>
      <w:sz w:val="26"/>
    </w:rPr>
  </w:style>
  <w:style w:type="paragraph" w:styleId="Heading8">
    <w:name w:val="heading 8"/>
    <w:basedOn w:val="Normal"/>
    <w:next w:val="NormalIndent"/>
    <w:qFormat/>
    <w:pPr>
      <w:numPr>
        <w:ilvl w:val="7"/>
        <w:numId w:val="1"/>
      </w:numPr>
      <w:ind w:hanging="0" w:start="720" w:end="0"/>
      <w:outlineLvl w:val="7"/>
    </w:pPr>
    <w:rPr>
      <w:rFonts w:ascii="CG Times (W1)" w:hAnsi="CG Times (W1)" w:cs="CG Times (W1)"/>
      <w:i/>
      <w:sz w:val="20"/>
    </w:rPr>
  </w:style>
  <w:style w:type="paragraph" w:styleId="Heading9">
    <w:name w:val="heading 9"/>
    <w:basedOn w:val="Normal"/>
    <w:next w:val="NormalIndent"/>
    <w:qFormat/>
    <w:pPr>
      <w:numPr>
        <w:ilvl w:val="8"/>
        <w:numId w:val="1"/>
      </w:numPr>
      <w:ind w:hanging="0" w:start="720" w:end="0"/>
      <w:outlineLvl w:val="8"/>
    </w:pPr>
    <w:rPr>
      <w:rFonts w:ascii="CG Times (W1)" w:hAnsi="CG Times (W1)" w:cs="CG Times (W1)"/>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 w:hAnsi="CG Times (W1)" w:cs="CG Times (W1)"/>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 w:hAnsi="CG Times (W1)" w:cs="CG Times (W1)"/>
      <w:vanish/>
      <w:color w:val="FF0000"/>
      <w:sz w:val="26"/>
    </w:rPr>
  </w:style>
  <w:style w:type="paragraph" w:styleId="Expanded">
    <w:name w:val="Expanded"/>
    <w:basedOn w:val="Normal"/>
    <w:next w:val="Normal"/>
    <w:qFormat/>
    <w:pPr>
      <w:spacing w:before="0" w:after="240"/>
      <w:jc w:val="center"/>
    </w:pPr>
    <w:rPr>
      <w:rFonts w:ascii="CG Times (W1)" w:hAnsi="CG Times (W1)" w:cs="CG Times (W1)"/>
      <w:b/>
      <w:caps/>
      <w:spacing w:val="60"/>
      <w:sz w:val="26"/>
    </w:rPr>
  </w:style>
  <w:style w:type="paragraph" w:styleId="Justified">
    <w:name w:val="Justified"/>
    <w:basedOn w:val="Normal"/>
    <w:next w:val="Heading2"/>
    <w:qFormat/>
    <w:pPr>
      <w:spacing w:before="0" w:after="120"/>
      <w:jc w:val="both"/>
    </w:pPr>
    <w:rPr>
      <w:rFonts w:ascii="CG Times (W1)" w:hAnsi="CG Times (W1)" w:cs="CG Times (W1)"/>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1999-06-08T12:56:00Z</dcterms:created>
  <dc:creator>vv24f</dc:creator>
  <dc:description/>
  <cp:keywords>purchase agreement</cp:keywords>
  <dc:language>en-CA</dc:language>
  <cp:lastModifiedBy>gnemec</cp:lastModifiedBy>
  <cp:lastPrinted>1999-06-10T08:55:00Z</cp:lastPrinted>
  <dcterms:modified xsi:type="dcterms:W3CDTF">1999-06-10T11:26:00Z</dcterms:modified>
  <cp:revision>13</cp:revision>
  <dc:subject>purchase agreement</dc:subject>
  <dc:title>master firm purchase agreement</dc:title>
</cp:coreProperties>
</file>