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rPr>
          <w:rFonts w:ascii="Times New Roman" w:hAnsi="Times New Roman"/>
          <w:sz w:val="20"/>
        </w:rPr>
      </w:pPr>
      <w:r>
        <w:rPr>
          <w:sz w:val="20"/>
        </w:rPr>
        <w:t>AMENDMENT</w:t>
      </w:r>
    </w:p>
    <w:p>
      <w:pPr>
        <w:pStyle w:val="Normal"/>
        <w:widowControl/>
        <w:bidi w:val="0"/>
        <w:ind w:hanging="0" w:start="0" w:end="0"/>
        <w:jc w:val="center"/>
        <w:rPr>
          <w:b/>
          <w:sz w:val="20"/>
        </w:rPr>
      </w:pPr>
      <w:r>
        <w:rPr>
          <w:b/>
          <w:sz w:val="20"/>
        </w:rPr>
        <w:t>TO</w:t>
      </w:r>
    </w:p>
    <w:p>
      <w:pPr>
        <w:pStyle w:val="Normal"/>
        <w:widowControl/>
        <w:bidi w:val="0"/>
        <w:ind w:hanging="0" w:start="0" w:end="0"/>
        <w:jc w:val="center"/>
        <w:rPr>
          <w:sz w:val="20"/>
        </w:rPr>
      </w:pPr>
      <w:r>
        <w:rPr>
          <w:b/>
          <w:sz w:val="20"/>
        </w:rPr>
        <w:t>COMPRESSION SERVICES AGREEMENT</w:t>
      </w:r>
    </w:p>
    <w:p>
      <w:pPr>
        <w:pStyle w:val="Normal"/>
        <w:widowControl/>
        <w:bidi w:val="0"/>
        <w:ind w:hanging="0" w:start="0" w:end="0"/>
        <w:jc w:val="center"/>
        <w:rPr>
          <w:sz w:val="20"/>
        </w:rPr>
      </w:pPr>
      <w:r>
        <w:rPr>
          <w:sz w:val="20"/>
        </w:rPr>
        <w:t>(Compressor Station – Station 13)</w:t>
      </w:r>
    </w:p>
    <w:p>
      <w:pPr>
        <w:pStyle w:val="Header"/>
        <w:widowControl/>
        <w:tabs>
          <w:tab w:val="clear" w:pos="4320"/>
          <w:tab w:val="clear" w:pos="8640"/>
        </w:tabs>
        <w:bidi w:val="0"/>
        <w:rPr>
          <w:rFonts w:ascii="Times New Roman" w:hAnsi="Times New Roman"/>
          <w:sz w:val="20"/>
        </w:rPr>
      </w:pPr>
      <w:r>
        <w:rPr>
          <w:sz w:val="20"/>
        </w:rPr>
      </w:r>
    </w:p>
    <w:p>
      <w:pPr>
        <w:pStyle w:val="Normal"/>
        <w:widowControl/>
        <w:bidi w:val="0"/>
        <w:ind w:hanging="0" w:start="0" w:end="0"/>
        <w:rPr>
          <w:sz w:val="20"/>
        </w:rPr>
      </w:pPr>
      <w:r>
        <w:rPr>
          <w:sz w:val="20"/>
        </w:rPr>
        <w:tab/>
        <w:t xml:space="preserve">WHEREAS, </w:t>
      </w:r>
      <w:r>
        <w:rPr>
          <w:b/>
          <w:sz w:val="20"/>
        </w:rPr>
        <w:t>Florida Gas Transmission Company</w:t>
      </w:r>
      <w:r>
        <w:rPr>
          <w:sz w:val="20"/>
        </w:rPr>
        <w:t xml:space="preserve"> (“</w:t>
      </w:r>
      <w:r>
        <w:rPr>
          <w:sz w:val="20"/>
          <w:u w:val="single"/>
        </w:rPr>
        <w:t>Customer</w:t>
      </w:r>
      <w:r>
        <w:rPr>
          <w:sz w:val="20"/>
        </w:rPr>
        <w:t xml:space="preserve">”) and </w:t>
      </w:r>
      <w:r>
        <w:rPr>
          <w:b/>
          <w:sz w:val="20"/>
        </w:rPr>
        <w:t>Enron Compression Services Company</w:t>
      </w:r>
      <w:r>
        <w:rPr>
          <w:sz w:val="20"/>
        </w:rPr>
        <w:t xml:space="preserve"> (“</w:t>
      </w:r>
      <w:r>
        <w:rPr>
          <w:sz w:val="20"/>
          <w:u w:val="single"/>
        </w:rPr>
        <w:t>ECS</w:t>
      </w:r>
      <w:r>
        <w:rPr>
          <w:sz w:val="20"/>
        </w:rPr>
        <w:t>”) have entered into that certain Compression Services Agreement (Compressor Station – Station 13) (the “</w:t>
      </w:r>
      <w:r>
        <w:rPr>
          <w:sz w:val="20"/>
          <w:u w:val="single"/>
        </w:rPr>
        <w:t>Agreement</w:t>
      </w:r>
      <w:r>
        <w:rPr>
          <w:sz w:val="20"/>
        </w:rPr>
        <w:t>”) dated March 20, 2000, governing ECS' provision of compression services at Customer's Station 13 Compressor Station; and</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tab/>
        <w:t>WHEREAS, Customer and ECS desire to enter into this Amendment to the Agreement (this “</w:t>
      </w:r>
      <w:r>
        <w:rPr>
          <w:sz w:val="20"/>
          <w:u w:val="single"/>
        </w:rPr>
        <w:t>Amendment</w:t>
      </w:r>
      <w:r>
        <w:rPr>
          <w:sz w:val="20"/>
        </w:rPr>
        <w:t>”) effective as of June ___, 2000 (the “</w:t>
      </w:r>
      <w:r>
        <w:rPr>
          <w:sz w:val="20"/>
          <w:u w:val="single"/>
        </w:rPr>
        <w:t>Effective Date</w:t>
      </w:r>
      <w:r>
        <w:rPr>
          <w:sz w:val="20"/>
        </w:rPr>
        <w:t>”).</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tab/>
        <w:t>NOW, THEREFORE, Customer and ECS, in consideration of the mutual benefits to be derived hereunder, as of the Effective Date do hereby agree as follows:</w:t>
      </w:r>
    </w:p>
    <w:p>
      <w:pPr>
        <w:pStyle w:val="Normal"/>
        <w:widowControl/>
        <w:bidi w:val="0"/>
        <w:ind w:hanging="0" w:start="0" w:end="0"/>
        <w:rPr>
          <w:sz w:val="20"/>
        </w:rPr>
      </w:pPr>
      <w:r>
        <w:rPr>
          <w:sz w:val="20"/>
        </w:rPr>
      </w:r>
    </w:p>
    <w:p>
      <w:pPr>
        <w:pStyle w:val="Normal"/>
        <w:widowControl/>
        <w:bidi w:val="0"/>
        <w:ind w:hanging="0" w:start="0" w:end="0"/>
        <w:rPr>
          <w:sz w:val="20"/>
        </w:rPr>
      </w:pPr>
      <w:r>
        <w:rPr>
          <w:sz w:val="20"/>
        </w:rPr>
        <w:t>1.</w:t>
        <w:tab/>
        <w:t>Section 3.7 “</w:t>
      </w:r>
      <w:r>
        <w:rPr>
          <w:sz w:val="20"/>
          <w:u w:val="single"/>
        </w:rPr>
        <w:t>Adjustment of Charges</w:t>
      </w:r>
      <w:r>
        <w:rPr>
          <w:sz w:val="20"/>
        </w:rPr>
        <w:t>”, of the Agreement is hereby amended and restated by deleting it, in its entirety, and replacing it with the following:</w:t>
      </w:r>
    </w:p>
    <w:p>
      <w:pPr>
        <w:pStyle w:val="Normal"/>
        <w:tabs>
          <w:tab w:val="clear" w:pos="720"/>
          <w:tab w:val="left" w:pos="630" w:leader="none"/>
        </w:tabs>
        <w:bidi w:val="0"/>
        <w:ind w:firstLine="630" w:start="0" w:end="0"/>
        <w:rPr>
          <w:sz w:val="20"/>
        </w:rPr>
      </w:pPr>
      <w:r>
        <w:rPr>
          <w:sz w:val="20"/>
        </w:rPr>
      </w:r>
    </w:p>
    <w:p>
      <w:pPr>
        <w:pStyle w:val="Normal"/>
        <w:tabs>
          <w:tab w:val="clear" w:pos="720"/>
          <w:tab w:val="left" w:pos="630" w:leader="none"/>
        </w:tabs>
        <w:bidi w:val="0"/>
        <w:ind w:hanging="0" w:start="630" w:end="0"/>
        <w:rPr>
          <w:sz w:val="20"/>
        </w:rPr>
      </w:pPr>
      <w:r>
        <w:rPr>
          <w:sz w:val="20"/>
        </w:rPr>
        <w:tab/>
        <w:tab/>
        <w:t>“3.7</w:t>
        <w:tab/>
      </w:r>
      <w:r>
        <w:rPr>
          <w:sz w:val="20"/>
          <w:u w:val="single"/>
        </w:rPr>
        <w:t>Adjustment of Charges</w:t>
      </w:r>
      <w:r>
        <w:rPr>
          <w:sz w:val="20"/>
        </w:rPr>
        <w:t xml:space="preserve">.  The price for HP-hour compensation is set forth in Section 3.2 and 3.3 hereof.  However, under the circumstances enumerated herein, </w:t>
      </w:r>
      <w:r>
        <w:rPr>
          <w:strike/>
          <w:sz w:val="20"/>
        </w:rPr>
        <w:t>FGT</w:t>
      </w:r>
      <w:r>
        <w:rPr>
          <w:sz w:val="20"/>
        </w:rPr>
        <w:t xml:space="preserve"> </w:t>
      </w:r>
      <w:r>
        <w:rPr>
          <w:b/>
          <w:sz w:val="20"/>
          <w:u w:val="double"/>
        </w:rPr>
        <w:t>Customer</w:t>
      </w:r>
      <w:r>
        <w:rPr>
          <w:sz w:val="20"/>
        </w:rPr>
        <w:t xml:space="preserve"> shall have the following two pricing options:</w:t>
      </w:r>
    </w:p>
    <w:p>
      <w:pPr>
        <w:pStyle w:val="Normal"/>
        <w:tabs>
          <w:tab w:val="left" w:pos="720" w:leader="none"/>
        </w:tabs>
        <w:bidi w:val="0"/>
        <w:ind w:firstLine="720" w:start="0" w:end="0"/>
        <w:rPr>
          <w:sz w:val="20"/>
          <w:u w:val="single"/>
        </w:rPr>
      </w:pPr>
      <w:r>
        <w:rPr>
          <w:sz w:val="20"/>
          <w:u w:val="single"/>
        </w:rPr>
      </w:r>
    </w:p>
    <w:p>
      <w:pPr>
        <w:pStyle w:val="Normal"/>
        <w:tabs>
          <w:tab w:val="left" w:pos="720" w:leader="none"/>
        </w:tabs>
        <w:bidi w:val="0"/>
        <w:ind w:hanging="0" w:start="1440" w:end="0"/>
        <w:rPr>
          <w:b/>
          <w:sz w:val="20"/>
          <w:u w:val="double"/>
        </w:rPr>
      </w:pPr>
      <w:r>
        <w:rPr>
          <w:sz w:val="20"/>
        </w:rPr>
        <w:tab/>
        <w:t>(a)</w:t>
        <w:tab/>
      </w:r>
      <w:r>
        <w:rPr>
          <w:strike/>
          <w:sz w:val="20"/>
        </w:rPr>
        <w:t>Before December 1, 2000, FGT may exercise its right</w:t>
      </w:r>
      <w:r>
        <w:rPr>
          <w:sz w:val="20"/>
        </w:rPr>
        <w:t xml:space="preserve"> </w:t>
      </w:r>
      <w:r>
        <w:rPr>
          <w:b/>
          <w:sz w:val="20"/>
          <w:u w:val="double"/>
        </w:rPr>
        <w:t>If Customer notifies ECS of its election</w:t>
      </w:r>
      <w:r>
        <w:rPr>
          <w:sz w:val="20"/>
        </w:rPr>
        <w:t xml:space="preserve"> to lock in the Annual Charge and the HP-hour Charge </w:t>
      </w:r>
      <w:r>
        <w:rPr>
          <w:b/>
          <w:sz w:val="20"/>
          <w:u w:val="double"/>
        </w:rPr>
        <w:t xml:space="preserve">before December 1, 2000, then ECS shall elect one of the following: </w:t>
      </w:r>
    </w:p>
    <w:p>
      <w:pPr>
        <w:pStyle w:val="Normal"/>
        <w:tabs>
          <w:tab w:val="left" w:pos="720" w:leader="none"/>
        </w:tabs>
        <w:bidi w:val="0"/>
        <w:ind w:hanging="0" w:start="1440" w:end="0"/>
        <w:rPr>
          <w:b/>
          <w:sz w:val="20"/>
          <w:u w:val="double"/>
        </w:rPr>
      </w:pPr>
      <w:r>
        <w:rPr>
          <w:sz w:val="20"/>
        </w:rPr>
        <w:tab/>
        <w:tab/>
      </w:r>
    </w:p>
    <w:p>
      <w:pPr>
        <w:pStyle w:val="Normal"/>
        <w:tabs>
          <w:tab w:val="left" w:pos="720" w:leader="none"/>
        </w:tabs>
        <w:bidi w:val="0"/>
        <w:ind w:hanging="0" w:start="2160" w:end="0"/>
        <w:rPr>
          <w:sz w:val="20"/>
        </w:rPr>
      </w:pPr>
      <w:r>
        <w:rPr>
          <w:sz w:val="20"/>
        </w:rPr>
        <w:tab/>
      </w:r>
      <w:r>
        <w:rPr>
          <w:b/>
          <w:sz w:val="20"/>
          <w:u w:val="double"/>
        </w:rPr>
        <w:t>(1) ECS may lock in the Annual Charge and the HP-hour Charge</w:t>
      </w:r>
      <w:r>
        <w:rPr>
          <w:sz w:val="20"/>
        </w:rPr>
        <w:t xml:space="preserve"> as quoted in Section 3.2 and 3.3 respectively</w:t>
      </w:r>
      <w:r>
        <w:rPr>
          <w:strike/>
          <w:sz w:val="20"/>
        </w:rPr>
        <w:t>(by giving ECS written notice of its intent to do so). If FGT gives ECS such written notice, all costs relating to ECSs unwinding of its natural gas position (whether physical or financial) plus all other costs as set forth in Section 6.2 of this Agreement, shall be borne by FGT in the event FGT shall fail to obtain FERC approval (acceptable to FGT) of the Phase V Expansion.</w:t>
      </w:r>
      <w:r>
        <w:rPr>
          <w:b/>
          <w:sz w:val="20"/>
          <w:u w:val="double"/>
        </w:rPr>
        <w:t>; or</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2160" w:end="0"/>
        <w:rPr>
          <w:b/>
          <w:sz w:val="20"/>
          <w:u w:val="double"/>
        </w:rPr>
      </w:pPr>
      <w:r>
        <w:rPr>
          <w:sz w:val="20"/>
        </w:rPr>
        <w:tab/>
      </w:r>
      <w:r>
        <w:rPr>
          <w:strike/>
          <w:sz w:val="20"/>
        </w:rPr>
        <w:t>(b) If FGT does not lock in</w:t>
      </w:r>
      <w:r>
        <w:rPr>
          <w:b/>
          <w:sz w:val="20"/>
          <w:u w:val="double"/>
        </w:rPr>
        <w:t>(2) ECS may adjust</w:t>
      </w:r>
      <w:r>
        <w:rPr>
          <w:sz w:val="20"/>
        </w:rPr>
        <w:t xml:space="preserve"> the Annual Charge and the HP-hour Charge </w:t>
      </w:r>
      <w:r>
        <w:rPr>
          <w:strike/>
          <w:sz w:val="20"/>
        </w:rPr>
        <w:t>as detailed in (a) above prior to December 1, 2000, then the Annual Charge and the HP-hour Charge</w:t>
      </w:r>
      <w:r>
        <w:rPr>
          <w:sz w:val="20"/>
        </w:rPr>
        <w:t xml:space="preserve"> set forth in Section 3.2 and 3.3 respectively hereof </w:t>
      </w:r>
      <w:r>
        <w:rPr>
          <w:strike/>
          <w:sz w:val="20"/>
        </w:rPr>
        <w:t>shall be adjusted by ECS</w:t>
      </w:r>
      <w:r>
        <w:rPr>
          <w:b/>
          <w:sz w:val="20"/>
          <w:u w:val="double"/>
        </w:rPr>
        <w:t>,</w:t>
      </w:r>
      <w:r>
        <w:rPr>
          <w:sz w:val="20"/>
        </w:rPr>
        <w:t xml:space="preserve"> upward </w:t>
      </w:r>
      <w:r>
        <w:rPr>
          <w:strike/>
          <w:sz w:val="20"/>
        </w:rPr>
        <w:t>or downward</w:t>
      </w:r>
      <w:r>
        <w:rPr>
          <w:sz w:val="20"/>
        </w:rPr>
        <w:t xml:space="preserve"> to reflect changes in </w:t>
      </w:r>
      <w:r>
        <w:rPr>
          <w:b/>
          <w:sz w:val="20"/>
          <w:u w:val="double"/>
        </w:rPr>
        <w:t>(i)</w:t>
      </w:r>
      <w:r>
        <w:rPr>
          <w:sz w:val="20"/>
        </w:rPr>
        <w:t xml:space="preserve"> the market price for natural gas forwards and </w:t>
      </w:r>
      <w:r>
        <w:rPr>
          <w:strike/>
          <w:sz w:val="20"/>
        </w:rPr>
        <w:t>utility charges. Prior to FGT's election to lock in the Annual Charge and the HP-hour Charge, ECS, upon request by FGT, shall provide FGT with its adjusted Annual Charge and HP-hour Charge. In the event, either or both Charges has increased and FGT determines the adjusted Annual Charge and/or HP-hour Charge to be unacceptable, then FGT</w:t>
      </w:r>
      <w:r>
        <w:rPr>
          <w:b/>
          <w:sz w:val="20"/>
          <w:u w:val="double"/>
        </w:rPr>
        <w:t>(ii) utility charges and any hedging costs (whether physical or financial) actually incurred by ECS for natural gas pricing related to this Agreement (collectively the “Pre-Dec.1 Adjusted Charges”).  ECS shall provide Customer with the Pre-Dec.1 Adjusted Charges following Customer</w:t>
      </w:r>
      <w:r>
        <w:rPr>
          <w:sz w:val="20"/>
        </w:rPr>
        <w:t>’</w:t>
      </w:r>
      <w:r>
        <w:rPr>
          <w:b/>
          <w:sz w:val="20"/>
          <w:u w:val="double"/>
        </w:rPr>
        <w:t>s lock notification.  If Customer in good faith determines the Pre-Dec.1 Adjusted Charges make the Compression Services under this Agreement uneconomical as compared to a gas driver, then Customer</w:t>
      </w:r>
      <w:r>
        <w:rPr>
          <w:sz w:val="20"/>
        </w:rPr>
        <w:t xml:space="preserve"> and ECS shall have thirty (30) days to reach agreement on the </w:t>
      </w:r>
      <w:r>
        <w:rPr>
          <w:strike/>
          <w:sz w:val="20"/>
        </w:rPr>
        <w:t>adjusted Annual Charge and HP-hour Charge</w:t>
      </w:r>
      <w:r>
        <w:rPr>
          <w:sz w:val="20"/>
        </w:rPr>
        <w:t xml:space="preserve"> </w:t>
      </w:r>
      <w:r>
        <w:rPr>
          <w:b/>
          <w:sz w:val="20"/>
          <w:u w:val="double"/>
        </w:rPr>
        <w:t>Pre-Dec.1 Adjusted Charges</w:t>
      </w:r>
      <w:r>
        <w:rPr>
          <w:sz w:val="20"/>
        </w:rPr>
        <w:t xml:space="preserve">.  In the event the parties cannot reach </w:t>
      </w:r>
      <w:r>
        <w:rPr>
          <w:strike/>
          <w:sz w:val="20"/>
        </w:rPr>
        <w:t>such agreement, FGT</w:t>
      </w:r>
      <w:r>
        <w:rPr>
          <w:sz w:val="20"/>
        </w:rPr>
        <w:t xml:space="preserve"> </w:t>
      </w:r>
      <w:r>
        <w:rPr>
          <w:b/>
          <w:sz w:val="20"/>
          <w:u w:val="double"/>
        </w:rPr>
        <w:t>agreement after such thirty (30) day period, Customer</w:t>
      </w:r>
      <w:r>
        <w:rPr>
          <w:sz w:val="20"/>
        </w:rPr>
        <w:t xml:space="preserve"> shall have the right to terminate this Agreement; provided however, that upon </w:t>
      </w:r>
      <w:r>
        <w:rPr>
          <w:strike/>
          <w:sz w:val="20"/>
        </w:rPr>
        <w:t>FGT's</w:t>
      </w:r>
      <w:r>
        <w:rPr>
          <w:sz w:val="20"/>
        </w:rPr>
        <w:t xml:space="preserve"> </w:t>
      </w:r>
      <w:r>
        <w:rPr>
          <w:b/>
          <w:sz w:val="20"/>
          <w:u w:val="double"/>
        </w:rPr>
        <w:t>Customer's</w:t>
      </w:r>
      <w:r>
        <w:rPr>
          <w:sz w:val="20"/>
        </w:rPr>
        <w:t xml:space="preserve"> election to terminate under this Section 3.7</w:t>
      </w:r>
      <w:r>
        <w:rPr>
          <w:strike/>
          <w:sz w:val="20"/>
        </w:rPr>
        <w:t>(b), FGT</w:t>
      </w:r>
      <w:r>
        <w:rPr>
          <w:b/>
          <w:sz w:val="20"/>
          <w:u w:val="double"/>
        </w:rPr>
        <w:t>(a), Customer</w:t>
      </w:r>
      <w:r>
        <w:rPr>
          <w:sz w:val="20"/>
        </w:rPr>
        <w:t xml:space="preserve"> shall reimburse ECS for the costs set forth in Section 6.2 of this Agreement. </w:t>
      </w:r>
      <w:r>
        <w:rPr>
          <w:b/>
          <w:sz w:val="20"/>
          <w:u w:val="double"/>
        </w:rPr>
        <w:t>Notwithstanding anything to contrary herein, Customer may only terminate this Agreement in accordance with this Section 3.7(a)(2) if Customer can reasonably demonstrate to ECS that the Pre-Dec.1 Adjusted Charges result the Compression Services under this Agreement being uneconomical as compared to a gas driver.</w:t>
      </w:r>
    </w:p>
    <w:p>
      <w:pPr>
        <w:pStyle w:val="Normal"/>
        <w:tabs>
          <w:tab w:val="left" w:pos="720" w:leader="none"/>
        </w:tabs>
        <w:bidi w:val="0"/>
        <w:ind w:hanging="0" w:start="1440" w:end="0"/>
        <w:rPr>
          <w:b/>
          <w:sz w:val="20"/>
          <w:u w:val="double"/>
        </w:rPr>
      </w:pPr>
      <w:r>
        <w:rPr>
          <w:b/>
          <w:sz w:val="20"/>
          <w:u w:val="double"/>
        </w:rPr>
      </w:r>
    </w:p>
    <w:p>
      <w:pPr>
        <w:pStyle w:val="Normal"/>
        <w:tabs>
          <w:tab w:val="left" w:pos="720" w:leader="none"/>
        </w:tabs>
        <w:bidi w:val="0"/>
        <w:ind w:hanging="0" w:start="1440" w:end="0"/>
        <w:rPr>
          <w:b/>
          <w:sz w:val="20"/>
          <w:u w:val="double"/>
        </w:rPr>
      </w:pPr>
      <w:r>
        <w:rPr>
          <w:sz w:val="20"/>
        </w:rPr>
        <w:tab/>
      </w:r>
      <w:r>
        <w:rPr>
          <w:b/>
          <w:sz w:val="20"/>
          <w:u w:val="double"/>
        </w:rPr>
        <w:t>(b)</w:t>
      </w:r>
      <w:r>
        <w:rPr>
          <w:sz w:val="20"/>
        </w:rPr>
        <w:tab/>
      </w:r>
      <w:r>
        <w:rPr>
          <w:b/>
          <w:sz w:val="20"/>
          <w:u w:val="double"/>
        </w:rPr>
        <w:t>If Customer</w:t>
      </w:r>
      <w:r>
        <w:rPr>
          <w:sz w:val="20"/>
        </w:rPr>
        <w:t xml:space="preserve"> </w:t>
      </w:r>
      <w:r>
        <w:rPr>
          <w:strike/>
          <w:sz w:val="20"/>
        </w:rPr>
        <w:t>If FGT</w:t>
      </w:r>
      <w:r>
        <w:rPr>
          <w:sz w:val="20"/>
        </w:rPr>
        <w:t xml:space="preserve"> notifies ECS of its election to lock in the </w:t>
      </w:r>
      <w:r>
        <w:rPr>
          <w:strike/>
          <w:sz w:val="20"/>
        </w:rPr>
        <w:t>adjusted</w:t>
      </w:r>
      <w:r>
        <w:rPr>
          <w:sz w:val="20"/>
        </w:rPr>
        <w:t xml:space="preserve"> Annual Charge and the </w:t>
      </w:r>
      <w:r>
        <w:rPr>
          <w:strike/>
          <w:sz w:val="20"/>
        </w:rPr>
        <w:t>adjusted</w:t>
      </w:r>
      <w:r>
        <w:rPr>
          <w:sz w:val="20"/>
        </w:rPr>
        <w:t xml:space="preserve"> HP-hour Charge </w:t>
      </w:r>
      <w:r>
        <w:rPr>
          <w:b/>
          <w:sz w:val="20"/>
          <w:u w:val="double"/>
        </w:rPr>
        <w:t>on or</w:t>
      </w:r>
      <w:r>
        <w:rPr>
          <w:sz w:val="20"/>
        </w:rPr>
        <w:t xml:space="preserve"> after December 1, 2000, </w:t>
      </w:r>
      <w:r>
        <w:rPr>
          <w:strike/>
          <w:sz w:val="20"/>
        </w:rPr>
        <w:t>the adjusted Annual Charge and adjusted HP-hour Charge agreed to by FGT and ECS</w:t>
      </w:r>
      <w:r>
        <w:rPr>
          <w:sz w:val="20"/>
        </w:rPr>
        <w:t xml:space="preserve"> </w:t>
      </w:r>
      <w:r>
        <w:rPr>
          <w:b/>
          <w:sz w:val="20"/>
          <w:u w:val="double"/>
        </w:rPr>
        <w:t xml:space="preserve">then ECS shall elect one of the following: </w:t>
      </w:r>
    </w:p>
    <w:p>
      <w:pPr>
        <w:pStyle w:val="Normal"/>
        <w:tabs>
          <w:tab w:val="left" w:pos="720" w:leader="none"/>
        </w:tabs>
        <w:bidi w:val="0"/>
        <w:ind w:hanging="0" w:start="1440" w:end="0"/>
        <w:rPr>
          <w:b/>
          <w:sz w:val="20"/>
          <w:u w:val="double"/>
        </w:rPr>
      </w:pPr>
      <w:r>
        <w:rPr>
          <w:sz w:val="20"/>
        </w:rPr>
        <w:tab/>
        <w:tab/>
      </w:r>
    </w:p>
    <w:p>
      <w:pPr>
        <w:pStyle w:val="Normal"/>
        <w:tabs>
          <w:tab w:val="left" w:pos="720" w:leader="none"/>
        </w:tabs>
        <w:bidi w:val="0"/>
        <w:ind w:hanging="0" w:start="2160" w:end="0"/>
        <w:rPr>
          <w:b/>
          <w:sz w:val="20"/>
          <w:u w:val="double"/>
        </w:rPr>
      </w:pPr>
      <w:r>
        <w:rPr>
          <w:sz w:val="20"/>
        </w:rPr>
        <w:tab/>
      </w:r>
      <w:r>
        <w:rPr>
          <w:b/>
          <w:sz w:val="20"/>
          <w:u w:val="double"/>
        </w:rPr>
        <w:t>(1) ECS may lock in the Annual Charge and the HP-hour Charge as quoted in Section 3.2 and 3.3 respectively; or</w:t>
      </w:r>
    </w:p>
    <w:p>
      <w:pPr>
        <w:pStyle w:val="Normal"/>
        <w:tabs>
          <w:tab w:val="left" w:pos="720" w:leader="none"/>
        </w:tabs>
        <w:bidi w:val="0"/>
        <w:ind w:hanging="0" w:start="1440" w:end="0"/>
        <w:rPr>
          <w:b/>
          <w:sz w:val="20"/>
          <w:u w:val="double"/>
        </w:rPr>
      </w:pPr>
      <w:r>
        <w:rPr>
          <w:b/>
          <w:sz w:val="20"/>
          <w:u w:val="double"/>
        </w:rPr>
      </w:r>
    </w:p>
    <w:p>
      <w:pPr>
        <w:pStyle w:val="Normal"/>
        <w:tabs>
          <w:tab w:val="left" w:pos="720" w:leader="none"/>
        </w:tabs>
        <w:bidi w:val="0"/>
        <w:ind w:hanging="0" w:start="2160" w:end="0"/>
        <w:rPr>
          <w:b/>
          <w:sz w:val="20"/>
          <w:u w:val="double"/>
        </w:rPr>
      </w:pPr>
      <w:r>
        <w:rPr>
          <w:sz w:val="20"/>
        </w:rPr>
        <w:tab/>
      </w:r>
      <w:r>
        <w:rPr>
          <w:b/>
          <w:sz w:val="20"/>
          <w:u w:val="double"/>
        </w:rPr>
        <w:t>(2) ECS may adjust the Annual Charge and the HP-hour Charge set forth in Section 3.2 and 3.3 respectively hereof, upward to reflect changes in (i) the market price for natural gas forwards, (ii) utility charges, and (iii) construction and equipment costs and any hedging costs (whether physical or financial) actually incurred by ECS for natural gas pricing related to this Agreement (collectively the “Post Dec.1 Adjusted Charges”).  ECS shall provide Customer with the Post Dec.1 Adjusted Charges following Customer</w:t>
      </w:r>
      <w:r>
        <w:rPr>
          <w:sz w:val="20"/>
        </w:rPr>
        <w:t>’</w:t>
      </w:r>
      <w:r>
        <w:rPr>
          <w:b/>
          <w:sz w:val="20"/>
          <w:u w:val="double"/>
        </w:rPr>
        <w:t>s lock notification.  If Customer in good faith determines the Post Dec.1 Adjusted Charges make the Compression Services under this Agreement uneconomical as compared to a gas driver, then Customer and ECS shall have thirty (30) days to reach agreement on the Post Dec.1 Adjusted Charges.  In the event the parties cannot reach agreement after such thirty (30) day period, Customer shall have the right to terminate this Agreement; provided however, that upon Customer's election to terminate under this Section 3.7(b), Customer shall reimburse ECS for the costs set forth in Section 6.2 of this Agreement. Notwithstanding anything to contrary herein, Customer may only terminate this Agreement in accordance with this Section 3.7(b)(2) if Customer can reasonably demonstrate to ECS that the Post Dec.1 Adjusted Charges result the Compression Services under this Agreement being uneconomical as compared to a gas driver.</w:t>
      </w:r>
    </w:p>
    <w:p>
      <w:pPr>
        <w:pStyle w:val="Normal"/>
        <w:tabs>
          <w:tab w:val="left" w:pos="720" w:leader="none"/>
        </w:tabs>
        <w:bidi w:val="0"/>
        <w:ind w:hanging="0" w:start="1440" w:end="0"/>
        <w:rPr>
          <w:b/>
          <w:sz w:val="20"/>
          <w:u w:val="double"/>
        </w:rPr>
      </w:pPr>
      <w:r>
        <w:rPr>
          <w:b/>
          <w:sz w:val="20"/>
          <w:u w:val="double"/>
        </w:rPr>
      </w:r>
    </w:p>
    <w:p>
      <w:pPr>
        <w:pStyle w:val="Normal"/>
        <w:tabs>
          <w:tab w:val="left" w:pos="720" w:leader="none"/>
        </w:tabs>
        <w:bidi w:val="0"/>
        <w:ind w:hanging="0" w:start="1440" w:end="0"/>
        <w:rPr>
          <w:sz w:val="20"/>
        </w:rPr>
      </w:pPr>
      <w:r>
        <w:rPr>
          <w:b/>
          <w:sz w:val="20"/>
          <w:u w:val="double"/>
        </w:rPr>
        <w:t>If Customer notifies ECS of its election to lock in the Annual Charge and HP-hour Charge as quoted in Section 3.2 and 3.3 respectively, the Pre-Dec.1 Adjusted Charges in accordance with Section 3.7(a)(2), or the Post Dec.1 Adjusted Charges in accordance with Section 3.7(b)(2), such charges</w:t>
      </w:r>
      <w:r>
        <w:rPr>
          <w:sz w:val="20"/>
        </w:rPr>
        <w:t xml:space="preserve"> shall be the "locked in" Annual Charge and the HP-hour Charge.  In any event, </w:t>
      </w:r>
      <w:r>
        <w:rPr>
          <w:strike/>
          <w:sz w:val="20"/>
        </w:rPr>
        <w:t>FGT</w:t>
      </w:r>
      <w:r>
        <w:rPr>
          <w:sz w:val="20"/>
        </w:rPr>
        <w:t xml:space="preserve"> </w:t>
      </w:r>
      <w:r>
        <w:rPr>
          <w:b/>
          <w:sz w:val="20"/>
          <w:u w:val="double"/>
        </w:rPr>
        <w:t>Customer</w:t>
      </w:r>
      <w:r>
        <w:rPr>
          <w:sz w:val="20"/>
        </w:rPr>
        <w:t xml:space="preserve"> shall provide such </w:t>
      </w:r>
      <w:r>
        <w:rPr>
          <w:b/>
          <w:sz w:val="20"/>
          <w:u w:val="double"/>
        </w:rPr>
        <w:t>lock in</w:t>
      </w:r>
      <w:r>
        <w:rPr>
          <w:sz w:val="20"/>
        </w:rPr>
        <w:t xml:space="preserve"> notification to ECS</w:t>
      </w:r>
      <w:r>
        <w:rPr>
          <w:strike/>
          <w:sz w:val="20"/>
        </w:rPr>
        <w:t>, if at all,</w:t>
      </w:r>
      <w:r>
        <w:rPr>
          <w:sz w:val="20"/>
        </w:rPr>
        <w:t xml:space="preserve"> no later than seven business days after </w:t>
      </w:r>
      <w:r>
        <w:rPr>
          <w:strike/>
          <w:sz w:val="20"/>
        </w:rPr>
        <w:t>FGT</w:t>
      </w:r>
      <w:r>
        <w:rPr>
          <w:sz w:val="20"/>
        </w:rPr>
        <w:t xml:space="preserve"> </w:t>
      </w:r>
      <w:r>
        <w:rPr>
          <w:b/>
          <w:sz w:val="20"/>
          <w:u w:val="double"/>
        </w:rPr>
        <w:t>Customer</w:t>
      </w:r>
      <w:r>
        <w:rPr>
          <w:sz w:val="20"/>
        </w:rPr>
        <w:t xml:space="preserve"> obtains FERC approval (acceptable to </w:t>
      </w:r>
      <w:r>
        <w:rPr>
          <w:strike/>
          <w:sz w:val="20"/>
        </w:rPr>
        <w:t>FGT)</w:t>
      </w:r>
      <w:r>
        <w:rPr>
          <w:sz w:val="20"/>
        </w:rPr>
        <w:t xml:space="preserve"> </w:t>
      </w:r>
      <w:r>
        <w:rPr>
          <w:b/>
          <w:sz w:val="20"/>
          <w:u w:val="double"/>
        </w:rPr>
        <w:t>Customer)</w:t>
      </w:r>
      <w:r>
        <w:rPr>
          <w:sz w:val="20"/>
        </w:rPr>
        <w:t xml:space="preserve"> of the Phase V Expansion.  </w:t>
      </w:r>
      <w:r>
        <w:rPr>
          <w:strike/>
          <w:sz w:val="20"/>
        </w:rPr>
        <w:t>Section 6.2 of this Agreement shall apply to this Section 3.7(b).</w:t>
      </w:r>
    </w:p>
    <w:p>
      <w:pPr>
        <w:pStyle w:val="Normal"/>
        <w:tabs>
          <w:tab w:val="left" w:pos="720" w:leader="none"/>
        </w:tabs>
        <w:bidi w:val="0"/>
        <w:ind w:hanging="0" w:start="1440" w:end="0"/>
        <w:rPr>
          <w:sz w:val="20"/>
        </w:rPr>
      </w:pPr>
      <w:r>
        <w:rPr>
          <w:sz w:val="20"/>
        </w:rPr>
      </w:r>
    </w:p>
    <w:p>
      <w:pPr>
        <w:pStyle w:val="Normal"/>
        <w:widowControl/>
        <w:numPr>
          <w:ilvl w:val="0"/>
          <w:numId w:val="1"/>
        </w:numPr>
        <w:tabs>
          <w:tab w:val="left" w:pos="720" w:leader="none"/>
        </w:tabs>
        <w:bidi w:val="0"/>
        <w:ind w:hanging="720" w:start="720" w:end="0"/>
        <w:rPr>
          <w:sz w:val="20"/>
        </w:rPr>
      </w:pPr>
      <w:r>
        <w:rPr>
          <w:sz w:val="20"/>
        </w:rPr>
        <w:t>Section 6.2 “Termination by Customer”, of the Agreement is hereby amended and restated by deleting it, in its entirety, and replacing it with the following:</w:t>
      </w:r>
    </w:p>
    <w:p>
      <w:pPr>
        <w:pStyle w:val="Normal"/>
        <w:widowControl/>
        <w:bidi w:val="0"/>
        <w:ind w:hanging="0" w:start="0" w:end="0"/>
        <w:rPr>
          <w:sz w:val="20"/>
        </w:rPr>
      </w:pPr>
      <w:r>
        <w:rPr>
          <w:sz w:val="20"/>
        </w:rPr>
      </w:r>
    </w:p>
    <w:p>
      <w:pPr>
        <w:pStyle w:val="Normal"/>
        <w:widowControl/>
        <w:bidi w:val="0"/>
        <w:ind w:firstLine="720" w:start="720" w:end="0"/>
        <w:rPr>
          <w:sz w:val="20"/>
        </w:rPr>
      </w:pPr>
      <w:r>
        <w:rPr>
          <w:sz w:val="20"/>
        </w:rPr>
        <w:t>6.2</w:t>
        <w:tab/>
      </w:r>
      <w:r>
        <w:rPr>
          <w:sz w:val="20"/>
          <w:u w:val="single"/>
        </w:rPr>
        <w:t>Termination by Customer:</w:t>
      </w:r>
      <w:r>
        <w:rPr>
          <w:sz w:val="20"/>
        </w:rPr>
        <w:t xml:space="preserve">  </w:t>
      </w:r>
      <w:r>
        <w:rPr>
          <w:strike/>
          <w:sz w:val="20"/>
        </w:rPr>
        <w:t>FGT</w:t>
      </w:r>
      <w:r>
        <w:rPr>
          <w:sz w:val="20"/>
        </w:rPr>
        <w:t xml:space="preserve"> </w:t>
      </w:r>
      <w:r>
        <w:rPr>
          <w:b/>
          <w:sz w:val="20"/>
          <w:u w:val="double"/>
        </w:rPr>
        <w:t>Customer</w:t>
      </w:r>
      <w:r>
        <w:rPr>
          <w:sz w:val="20"/>
        </w:rPr>
        <w:t xml:space="preserve"> shall in good faith support the provisions of this Agreement before the FERC; provided, that </w:t>
      </w:r>
      <w:r>
        <w:rPr>
          <w:strike/>
          <w:sz w:val="20"/>
        </w:rPr>
        <w:t>FGT</w:t>
      </w:r>
      <w:r>
        <w:rPr>
          <w:sz w:val="20"/>
        </w:rPr>
        <w:t xml:space="preserve"> </w:t>
      </w:r>
      <w:r>
        <w:rPr>
          <w:b/>
          <w:sz w:val="20"/>
          <w:u w:val="double"/>
        </w:rPr>
        <w:t>Customer</w:t>
      </w:r>
      <w:r>
        <w:rPr>
          <w:sz w:val="20"/>
        </w:rPr>
        <w:t xml:space="preserve"> may, upon not less than ten (10) days written notice to ECS, terminate this Agreement if: (a) </w:t>
      </w:r>
      <w:r>
        <w:rPr>
          <w:strike/>
          <w:color w:val="000000"/>
          <w:sz w:val="20"/>
        </w:rPr>
        <w:t>FGT</w:t>
      </w:r>
      <w:r>
        <w:rPr>
          <w:color w:val="000000"/>
          <w:sz w:val="20"/>
        </w:rPr>
        <w:t xml:space="preserve"> </w:t>
      </w:r>
      <w:r>
        <w:rPr>
          <w:b/>
          <w:color w:val="000000"/>
          <w:sz w:val="20"/>
          <w:u w:val="double"/>
        </w:rPr>
        <w:t>Customer</w:t>
      </w:r>
      <w:r>
        <w:rPr>
          <w:color w:val="000000"/>
          <w:sz w:val="20"/>
        </w:rPr>
        <w:t xml:space="preserve"> has </w:t>
      </w:r>
      <w:r>
        <w:rPr>
          <w:strike/>
          <w:color w:val="000000"/>
          <w:sz w:val="20"/>
        </w:rPr>
        <w:t>not</w:t>
      </w:r>
      <w:r>
        <w:rPr>
          <w:color w:val="000000"/>
          <w:sz w:val="20"/>
        </w:rPr>
        <w:t xml:space="preserve"> received </w:t>
      </w:r>
      <w:r>
        <w:rPr>
          <w:strike/>
          <w:color w:val="000000"/>
          <w:sz w:val="20"/>
        </w:rPr>
        <w:t>by December 1, 2000</w:t>
      </w:r>
      <w:r>
        <w:rPr>
          <w:color w:val="000000"/>
          <w:sz w:val="20"/>
        </w:rPr>
        <w:t xml:space="preserve"> a Preliminary Determination </w:t>
      </w:r>
      <w:r>
        <w:rPr>
          <w:strike/>
          <w:color w:val="000000"/>
          <w:sz w:val="20"/>
        </w:rPr>
        <w:t>("PD") acceptable to FGT or such other authority from the FERC acceptable to FGT that allows FGT to recover all</w:t>
      </w:r>
      <w:r>
        <w:rPr>
          <w:b/>
          <w:color w:val="000000"/>
          <w:sz w:val="20"/>
          <w:u w:val="double"/>
        </w:rPr>
        <w:t>(“PD”) from the FERC disallowing the sufficient recovery of the</w:t>
      </w:r>
      <w:r>
        <w:rPr>
          <w:color w:val="000000"/>
          <w:sz w:val="20"/>
        </w:rPr>
        <w:t xml:space="preserve"> payments to be made to ECS from </w:t>
      </w:r>
      <w:r>
        <w:rPr>
          <w:strike/>
          <w:color w:val="000000"/>
          <w:sz w:val="20"/>
        </w:rPr>
        <w:t>FGT</w:t>
      </w:r>
      <w:r>
        <w:rPr>
          <w:color w:val="000000"/>
          <w:sz w:val="20"/>
        </w:rPr>
        <w:t xml:space="preserve"> </w:t>
      </w:r>
      <w:r>
        <w:rPr>
          <w:b/>
          <w:color w:val="000000"/>
          <w:sz w:val="20"/>
          <w:u w:val="double"/>
        </w:rPr>
        <w:t>the Customer</w:t>
      </w:r>
      <w:r>
        <w:rPr>
          <w:color w:val="000000"/>
          <w:sz w:val="20"/>
        </w:rPr>
        <w:t xml:space="preserve"> under this Agreement;</w:t>
      </w:r>
      <w:r>
        <w:rPr>
          <w:sz w:val="20"/>
        </w:rPr>
        <w:t xml:space="preserve"> (b) Customer in good faith believes that the provision of Compression Services by ECS to </w:t>
      </w:r>
      <w:r>
        <w:rPr>
          <w:strike/>
          <w:sz w:val="20"/>
        </w:rPr>
        <w:t>FGT</w:t>
      </w:r>
      <w:r>
        <w:rPr>
          <w:sz w:val="20"/>
        </w:rPr>
        <w:t xml:space="preserve"> </w:t>
      </w:r>
      <w:r>
        <w:rPr>
          <w:b/>
          <w:sz w:val="20"/>
          <w:u w:val="double"/>
        </w:rPr>
        <w:t>Customer</w:t>
      </w:r>
      <w:r>
        <w:rPr>
          <w:sz w:val="20"/>
        </w:rPr>
        <w:t xml:space="preserve"> as represented by this Agreement </w:t>
      </w:r>
      <w:r>
        <w:rPr>
          <w:strike/>
          <w:sz w:val="20"/>
        </w:rPr>
        <w:t>(including, without limitation, the Annual Charge and/or HP-hour Charge as quoted or as may be adjusted)</w:t>
      </w:r>
      <w:r>
        <w:rPr>
          <w:sz w:val="20"/>
        </w:rPr>
        <w:t xml:space="preserve"> will prevent satisfactory approval of the Phase V Expansion by the FERC; or (c) the Phase V Expansion is not approved by FERC with terms acceptable to </w:t>
      </w:r>
      <w:r>
        <w:rPr>
          <w:strike/>
          <w:sz w:val="20"/>
        </w:rPr>
        <w:t>FGT.</w:t>
      </w:r>
      <w:r>
        <w:rPr>
          <w:sz w:val="20"/>
        </w:rPr>
        <w:t xml:space="preserve"> </w:t>
      </w:r>
      <w:r>
        <w:rPr>
          <w:b/>
          <w:sz w:val="20"/>
          <w:u w:val="double"/>
        </w:rPr>
        <w:t>Customer.</w:t>
      </w:r>
      <w:r>
        <w:rPr>
          <w:sz w:val="20"/>
        </w:rPr>
        <w:t xml:space="preserve">  </w:t>
      </w:r>
    </w:p>
    <w:p>
      <w:pPr>
        <w:pStyle w:val="Normal"/>
        <w:widowControl/>
        <w:bidi w:val="0"/>
        <w:ind w:hanging="0" w:start="720" w:end="0"/>
        <w:rPr>
          <w:sz w:val="20"/>
        </w:rPr>
      </w:pPr>
      <w:r>
        <w:rPr>
          <w:sz w:val="20"/>
        </w:rPr>
      </w:r>
    </w:p>
    <w:p>
      <w:pPr>
        <w:pStyle w:val="BodyText2"/>
        <w:widowControl/>
        <w:bidi w:val="0"/>
        <w:ind w:firstLine="720" w:start="720" w:end="0"/>
        <w:rPr>
          <w:rFonts w:ascii="Times New Roman" w:hAnsi="Times New Roman"/>
          <w:sz w:val="20"/>
        </w:rPr>
      </w:pPr>
      <w:r>
        <w:rPr>
          <w:sz w:val="20"/>
        </w:rPr>
        <w:t xml:space="preserve">If </w:t>
      </w:r>
      <w:r>
        <w:rPr>
          <w:strike/>
          <w:sz w:val="20"/>
        </w:rPr>
        <w:t>FGT</w:t>
      </w:r>
      <w:r>
        <w:rPr>
          <w:sz w:val="20"/>
        </w:rPr>
        <w:t xml:space="preserve"> </w:t>
      </w:r>
      <w:r>
        <w:rPr>
          <w:b/>
          <w:sz w:val="20"/>
          <w:u w:val="double"/>
        </w:rPr>
        <w:t>Customer</w:t>
      </w:r>
      <w:r>
        <w:rPr>
          <w:sz w:val="20"/>
        </w:rPr>
        <w:t xml:space="preserve"> terminates the Agreement pursuant to this Section 6.2, </w:t>
      </w:r>
      <w:r>
        <w:rPr>
          <w:strike/>
          <w:sz w:val="20"/>
        </w:rPr>
        <w:t>FGT</w:t>
      </w:r>
      <w:r>
        <w:rPr>
          <w:sz w:val="20"/>
        </w:rPr>
        <w:t xml:space="preserve"> </w:t>
      </w:r>
      <w:r>
        <w:rPr>
          <w:b/>
          <w:sz w:val="20"/>
          <w:u w:val="double"/>
        </w:rPr>
        <w:t>Customer</w:t>
      </w:r>
      <w:r>
        <w:rPr>
          <w:sz w:val="20"/>
        </w:rPr>
        <w:t xml:space="preserve"> shall: (i) purchase from ECS, at ECS' net book value, any equipment procured for the installation and construction of the Compressor Motors, provided that </w:t>
      </w:r>
      <w:r>
        <w:rPr>
          <w:strike/>
          <w:sz w:val="20"/>
        </w:rPr>
        <w:t>FGT</w:t>
      </w:r>
      <w:r>
        <w:rPr>
          <w:sz w:val="20"/>
        </w:rPr>
        <w:t xml:space="preserve"> </w:t>
      </w:r>
      <w:r>
        <w:rPr>
          <w:b/>
          <w:sz w:val="20"/>
          <w:u w:val="double"/>
        </w:rPr>
        <w:t>Customer</w:t>
      </w:r>
      <w:r>
        <w:rPr>
          <w:sz w:val="20"/>
        </w:rPr>
        <w:t xml:space="preserve"> has authorized ECS in writing to purchase such equipment; (ii) take assignment of any contracts or agreements entered into by ECS with </w:t>
      </w:r>
      <w:r>
        <w:rPr>
          <w:strike/>
          <w:sz w:val="20"/>
        </w:rPr>
        <w:t>FGT's</w:t>
      </w:r>
      <w:r>
        <w:rPr>
          <w:sz w:val="20"/>
        </w:rPr>
        <w:t xml:space="preserve"> </w:t>
      </w:r>
      <w:r>
        <w:rPr>
          <w:b/>
          <w:sz w:val="20"/>
          <w:u w:val="double"/>
        </w:rPr>
        <w:t>Customer's</w:t>
      </w:r>
      <w:r>
        <w:rPr>
          <w:sz w:val="20"/>
        </w:rPr>
        <w:t xml:space="preserve"> prior written approval for the installation of the Compressor Motors or for provision of Compression Services under this Agreement; </w:t>
      </w:r>
      <w:r>
        <w:rPr>
          <w:strike/>
          <w:sz w:val="20"/>
        </w:rPr>
        <w:t>(iii) reimburse ECS up to $_____________ for all reasonable costs incurred by ECS associated with the installation of the Compressor Motors or for provision of Compression Services under this Agreement, including financial costs actually incurred by ECS to guarantee</w:t>
      </w:r>
      <w:r>
        <w:rPr>
          <w:sz w:val="20"/>
        </w:rPr>
        <w:t xml:space="preserve"> </w:t>
      </w:r>
      <w:r>
        <w:rPr>
          <w:b/>
          <w:sz w:val="20"/>
          <w:u w:val="double"/>
        </w:rPr>
        <w:t>and (iii) in the event that Customer has "locked-in"</w:t>
      </w:r>
      <w:r>
        <w:rPr>
          <w:sz w:val="20"/>
        </w:rPr>
        <w:t xml:space="preserve"> the Annual Charge and HP-hour Charge </w:t>
      </w:r>
      <w:r>
        <w:rPr>
          <w:strike/>
          <w:sz w:val="20"/>
        </w:rPr>
        <w:t>from July 1, 2000 through December 1, 2000; and (iv)</w:t>
      </w:r>
      <w:r>
        <w:rPr>
          <w:sz w:val="20"/>
        </w:rPr>
        <w:t xml:space="preserve"> </w:t>
      </w:r>
      <w:r>
        <w:rPr>
          <w:b/>
          <w:sz w:val="20"/>
          <w:u w:val="double"/>
        </w:rPr>
        <w:t>under Section 3.7,</w:t>
      </w:r>
      <w:r>
        <w:rPr>
          <w:sz w:val="20"/>
        </w:rPr>
        <w:t xml:space="preserve"> reimburse ECS for all costs and expenses incurred by ECS to unwind any forward sale of Fuel Gas to be delivered to ECS for the provision of Compression Services hereunder</w:t>
      </w:r>
      <w:r>
        <w:rPr>
          <w:strike/>
          <w:sz w:val="20"/>
        </w:rPr>
        <w:t>, but only in the event that FGT has "locked-in" the Annual Charge and HP-hour Charge under Section 3.7.</w:t>
      </w:r>
      <w:r>
        <w:rPr>
          <w:b/>
          <w:sz w:val="20"/>
          <w:u w:val="double"/>
        </w:rPr>
        <w:t>.  Notwithstanding anything to the contrary in this Agreement, ECS shall not be entitled to recover any costs or expenses incurred by ECS to guarantee a fixed Annual Charge and the HP-hour Charge through July 1, 2000.</w:t>
      </w:r>
    </w:p>
    <w:p>
      <w:pPr>
        <w:pStyle w:val="Normal"/>
        <w:widowControl/>
        <w:bidi w:val="0"/>
        <w:ind w:hanging="0" w:start="0" w:end="0"/>
        <w:rPr>
          <w:sz w:val="20"/>
        </w:rPr>
      </w:pPr>
      <w:r>
        <w:rPr>
          <w:sz w:val="20"/>
        </w:rPr>
      </w:r>
    </w:p>
    <w:p>
      <w:pPr>
        <w:pStyle w:val="Normal"/>
        <w:widowControl/>
        <w:numPr>
          <w:ilvl w:val="0"/>
          <w:numId w:val="2"/>
        </w:numPr>
        <w:tabs>
          <w:tab w:val="left" w:pos="720" w:leader="none"/>
        </w:tabs>
        <w:bidi w:val="0"/>
        <w:ind w:hanging="720" w:start="720" w:end="0"/>
        <w:rPr>
          <w:sz w:val="20"/>
        </w:rPr>
      </w:pPr>
      <w:r>
        <w:rPr>
          <w:sz w:val="20"/>
        </w:rPr>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widowControl/>
        <w:bidi w:val="0"/>
        <w:ind w:hanging="0" w:start="0" w:end="0"/>
        <w:rPr>
          <w:sz w:val="20"/>
        </w:rPr>
      </w:pPr>
      <w:r>
        <w:rPr>
          <w:sz w:val="20"/>
        </w:rPr>
      </w:r>
    </w:p>
    <w:p>
      <w:pPr>
        <w:pStyle w:val="Normal"/>
        <w:widowControl/>
        <w:numPr>
          <w:ilvl w:val="0"/>
          <w:numId w:val="3"/>
        </w:numPr>
        <w:tabs>
          <w:tab w:val="left" w:pos="720" w:leader="none"/>
        </w:tabs>
        <w:bidi w:val="0"/>
        <w:ind w:hanging="720" w:start="720" w:end="0"/>
        <w:rPr>
          <w:sz w:val="20"/>
        </w:rPr>
      </w:pPr>
      <w:r>
        <w:rPr>
          <w:sz w:val="20"/>
        </w:rPr>
        <w:t>Except as amended herein, the Agreement shall be and remain in full force and effect.</w:t>
      </w:r>
    </w:p>
    <w:p>
      <w:pPr>
        <w:pStyle w:val="Normal"/>
        <w:tabs>
          <w:tab w:val="left" w:pos="720" w:leader="none"/>
        </w:tabs>
        <w:bidi w:val="0"/>
        <w:ind w:hanging="0" w:start="1440" w:end="0"/>
        <w:rPr>
          <w:sz w:val="20"/>
        </w:rPr>
      </w:pPr>
      <w:r>
        <w:rPr>
          <w:sz w:val="20"/>
        </w:rPr>
      </w:r>
    </w:p>
    <w:p>
      <w:pPr>
        <w:pStyle w:val="BodyTextIndent2"/>
        <w:bidi w:val="0"/>
        <w:rPr>
          <w:rFonts w:ascii="Times New Roman" w:hAnsi="Times New Roman"/>
          <w:sz w:val="20"/>
        </w:rPr>
      </w:pPr>
      <w:r>
        <w:rPr>
          <w:sz w:val="20"/>
        </w:rPr>
        <w:t>IN WITNESS WHEREOF, the parties hereto have caused this Amendment to be executed in multiple originals.</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Heading3"/>
        <w:numPr>
          <w:ilvl w:val="0"/>
          <w:numId w:val="0"/>
        </w:numPr>
        <w:bidi w:val="0"/>
        <w:ind w:hanging="0" w:start="1440"/>
        <w:outlineLvl w:val="2"/>
        <w:rPr>
          <w:rFonts w:ascii="Times New Roman" w:hAnsi="Times New Roman"/>
          <w:sz w:val="20"/>
        </w:rPr>
      </w:pPr>
      <w:r>
        <w:rPr>
          <w:sz w:val="20"/>
        </w:rPr>
        <w:t>FLORIDA GAS TRANSMISSION COMPANY</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t>By:</w:t>
        <w:tab/>
        <w:tab/>
        <w:tab/>
        <w:tab/>
        <w:tab/>
        <w:tab/>
      </w:r>
    </w:p>
    <w:p>
      <w:pPr>
        <w:pStyle w:val="Normal"/>
        <w:tabs>
          <w:tab w:val="left" w:pos="720" w:leader="none"/>
        </w:tabs>
        <w:bidi w:val="0"/>
        <w:ind w:hanging="0" w:start="1440" w:end="0"/>
        <w:rPr>
          <w:sz w:val="20"/>
        </w:rPr>
      </w:pPr>
      <w:r>
        <w:rPr>
          <w:sz w:val="20"/>
        </w:rPr>
        <w:t>Printed Name:</w:t>
        <w:tab/>
        <w:tab/>
        <w:tab/>
        <w:tab/>
        <w:tab/>
      </w:r>
    </w:p>
    <w:p>
      <w:pPr>
        <w:pStyle w:val="Normal"/>
        <w:tabs>
          <w:tab w:val="left" w:pos="720" w:leader="none"/>
        </w:tabs>
        <w:bidi w:val="0"/>
        <w:ind w:hanging="0" w:start="1440" w:end="0"/>
        <w:rPr>
          <w:sz w:val="20"/>
        </w:rPr>
      </w:pPr>
      <w:r>
        <w:rPr>
          <w:sz w:val="20"/>
        </w:rPr>
        <w:t>Title:</w:t>
        <w:tab/>
        <w:tab/>
        <w:tab/>
        <w:tab/>
        <w:tab/>
        <w:tab/>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Heading3"/>
        <w:numPr>
          <w:ilvl w:val="0"/>
          <w:numId w:val="0"/>
        </w:numPr>
        <w:bidi w:val="0"/>
        <w:ind w:hanging="0" w:start="1440"/>
        <w:outlineLvl w:val="2"/>
        <w:rPr>
          <w:rFonts w:ascii="Times New Roman" w:hAnsi="Times New Roman"/>
          <w:sz w:val="20"/>
        </w:rPr>
      </w:pPr>
      <w:r>
        <w:rPr>
          <w:sz w:val="20"/>
        </w:rPr>
        <w:t>ENRON COMPRESSION SERVICES COMPANY</w:t>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r>
    </w:p>
    <w:p>
      <w:pPr>
        <w:pStyle w:val="Normal"/>
        <w:tabs>
          <w:tab w:val="left" w:pos="720" w:leader="none"/>
        </w:tabs>
        <w:bidi w:val="0"/>
        <w:ind w:hanging="0" w:start="1440" w:end="0"/>
        <w:rPr>
          <w:sz w:val="20"/>
        </w:rPr>
      </w:pPr>
      <w:r>
        <w:rPr>
          <w:sz w:val="20"/>
        </w:rPr>
        <w:t>By:</w:t>
        <w:tab/>
        <w:tab/>
        <w:tab/>
        <w:tab/>
        <w:tab/>
        <w:tab/>
      </w:r>
    </w:p>
    <w:p>
      <w:pPr>
        <w:pStyle w:val="Normal"/>
        <w:tabs>
          <w:tab w:val="left" w:pos="720" w:leader="none"/>
        </w:tabs>
        <w:bidi w:val="0"/>
        <w:ind w:hanging="0" w:start="1440" w:end="0"/>
        <w:rPr>
          <w:sz w:val="20"/>
        </w:rPr>
      </w:pPr>
      <w:r>
        <w:rPr>
          <w:sz w:val="20"/>
        </w:rPr>
        <w:t>Printed Name:</w:t>
        <w:tab/>
        <w:tab/>
        <w:tab/>
        <w:tab/>
        <w:tab/>
      </w:r>
    </w:p>
    <w:p>
      <w:pPr>
        <w:pStyle w:val="Normal"/>
        <w:tabs>
          <w:tab w:val="left" w:pos="720" w:leader="none"/>
        </w:tabs>
        <w:bidi w:val="0"/>
        <w:ind w:hanging="0" w:start="1440" w:end="0"/>
        <w:rPr>
          <w:sz w:val="20"/>
        </w:rPr>
      </w:pPr>
      <w:r>
        <w:rPr>
          <w:sz w:val="20"/>
        </w:rPr>
        <w:t>Title:</w:t>
        <w:tab/>
        <w:tab/>
        <w:tab/>
        <w:tab/>
        <w:tab/>
        <w:tab/>
      </w:r>
    </w:p>
    <w:p>
      <w:pPr>
        <w:pStyle w:val="Normal"/>
        <w:tabs>
          <w:tab w:val="left" w:pos="720" w:leader="none"/>
        </w:tabs>
        <w:bidi w:val="0"/>
        <w:ind w:hanging="0" w:start="1440" w:end="0"/>
        <w:rPr>
          <w:sz w:val="20"/>
        </w:rPr>
      </w:pPr>
      <w:r>
        <w:rPr>
          <w:sz w:val="20"/>
        </w:rPr>
      </w:r>
      <w:r>
        <w:br w:type="page"/>
      </w:r>
    </w:p>
    <w:p>
      <w:pPr>
        <w:pStyle w:val="Normal"/>
        <w:bidi w:val="0"/>
        <w:ind w:hanging="0" w:start="0" w:end="0"/>
        <w:rPr>
          <w:sz w:val="20"/>
        </w:rPr>
      </w:pPr>
      <w:r>
        <w:rPr>
          <w:sz w:val="20"/>
        </w:rPr>
        <w:t xml:space="preserve">This redlined draft, generated by CompareRite (TM) - The Instant Redliner, shows the differences between - </w:t>
      </w:r>
    </w:p>
    <w:p>
      <w:pPr>
        <w:pStyle w:val="Normal"/>
        <w:bidi w:val="0"/>
        <w:ind w:hanging="0" w:start="0" w:end="0"/>
        <w:rPr>
          <w:sz w:val="20"/>
        </w:rPr>
      </w:pPr>
      <w:r>
        <w:rPr>
          <w:sz w:val="20"/>
        </w:rPr>
        <w:t>original document   : O:\LEGAL\GNEMEC\COMPRESSION SERVICES\FGT\ECS-AMDT7-CLEAN.DOC</w:t>
      </w:r>
    </w:p>
    <w:p>
      <w:pPr>
        <w:pStyle w:val="Normal"/>
        <w:bidi w:val="0"/>
        <w:ind w:hanging="0" w:start="0" w:end="0"/>
        <w:rPr>
          <w:sz w:val="20"/>
        </w:rPr>
      </w:pPr>
      <w:r>
        <w:rPr>
          <w:sz w:val="20"/>
        </w:rPr>
        <w:t>and revised document: O:\LEGAL\GNEMEC\COMPRESSION SERVICES\FGT\ECS-AMDT10-CLEAN.DOC</w:t>
      </w:r>
    </w:p>
    <w:p>
      <w:pPr>
        <w:pStyle w:val="Normal"/>
        <w:bidi w:val="0"/>
        <w:ind w:hanging="0" w:start="0" w:end="0"/>
        <w:rPr>
          <w:sz w:val="20"/>
        </w:rPr>
      </w:pPr>
      <w:r>
        <w:rPr>
          <w:sz w:val="20"/>
        </w:rPr>
      </w:r>
    </w:p>
    <w:p>
      <w:pPr>
        <w:pStyle w:val="Normal"/>
        <w:bidi w:val="0"/>
        <w:ind w:hanging="0" w:start="0" w:end="0"/>
        <w:rPr>
          <w:sz w:val="20"/>
        </w:rPr>
      </w:pPr>
      <w:r>
        <w:rPr>
          <w:sz w:val="20"/>
        </w:rPr>
        <w:t>CompareRite found   42 change(s) in the text</w:t>
      </w:r>
    </w:p>
    <w:p>
      <w:pPr>
        <w:pStyle w:val="Normal"/>
        <w:bidi w:val="0"/>
        <w:ind w:hanging="0" w:start="0" w:end="0"/>
        <w:rPr>
          <w:sz w:val="20"/>
        </w:rPr>
      </w:pPr>
      <w:r>
        <w:rPr>
          <w:sz w:val="20"/>
        </w:rPr>
      </w:r>
    </w:p>
    <w:p>
      <w:pPr>
        <w:pStyle w:val="Normal"/>
        <w:bidi w:val="0"/>
        <w:ind w:hanging="0" w:start="0" w:end="0"/>
        <w:rPr>
          <w:sz w:val="20"/>
        </w:rPr>
      </w:pPr>
      <w:r>
        <w:rPr>
          <w:sz w:val="20"/>
        </w:rPr>
        <w:t xml:space="preserve">Deletions appear as Overstrike text </w:t>
      </w:r>
    </w:p>
    <w:p>
      <w:pPr>
        <w:pStyle w:val="Normal"/>
        <w:bidi w:val="0"/>
        <w:ind w:hanging="0" w:start="0" w:end="0"/>
        <w:rPr>
          <w:sz w:val="20"/>
        </w:rPr>
      </w:pPr>
      <w:r>
        <w:rPr>
          <w:sz w:val="20"/>
        </w:rPr>
        <w:t xml:space="preserve">Additions appear as Bold+Dbl Underline text </w:t>
      </w:r>
    </w:p>
    <w:p>
      <w:pPr>
        <w:pStyle w:val="Normal"/>
        <w:tabs>
          <w:tab w:val="left" w:pos="720" w:leader="none"/>
        </w:tabs>
        <w:bidi w:val="0"/>
        <w:ind w:hanging="0" w:start="1440" w:end="0"/>
        <w:rPr>
          <w:sz w:val="20"/>
        </w:rPr>
      </w:pPr>
      <w:r>
        <w:rPr>
          <w:sz w:val="20"/>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p>
  <w:p>
    <w:pPr>
      <w:pStyle w:val="Footer"/>
      <w:widowControl/>
      <w:bidi w:val="0"/>
      <w:rPr>
        <w:rFonts w:ascii="Times New Roman" w:hAnsi="Times New Roman"/>
        <w:sz w:val="12"/>
      </w:rPr>
    </w:pPr>
    <w:r>
      <w:rPr>
        <w:sz w:val="12"/>
      </w:rPr>
    </w:r>
  </w:p>
  <w:p>
    <w:pPr>
      <w:pStyle w:val="Footer"/>
      <w:widowControl/>
      <w:bidi w:val="0"/>
      <w:jc w:val="start"/>
      <w:rPr>
        <w:rFonts w:ascii="Times New Roman" w:hAnsi="Times New Roman"/>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sz w:val="12"/>
      </w:rPr>
    </w:pPr>
    <w:r>
      <w:rPr>
        <w:sz w:val="12"/>
        <w:lang w:val="en-CA" w:eastAsia="en-CA"/>
      </w:rPr>
      <w:fldChar w:fldCharType="begin"/>
    </w:r>
    <w:r>
      <w:rPr>
        <w:sz w:val="12"/>
        <w:lang w:val="en-CA" w:eastAsia="en-CA"/>
      </w:rPr>
      <w:instrText xml:space="preserve"> FILENAME \p </w:instrText>
    </w:r>
    <w:r>
      <w:rPr>
        <w:sz w:val="12"/>
        <w:lang w:val="en-CA" w:eastAsia="en-CA"/>
      </w:rPr>
      <w:fldChar w:fldCharType="separate"/>
    </w:r>
    <w:r>
      <w:rPr>
        <w:sz w:val="12"/>
        <w:lang w:val="en-CA" w:eastAsia="en-CA"/>
      </w:rPr>
      <w:t>/mnt/main-storage/datasets/enron-docs/doc/ECS_AMDT10_RED.DOC</w:t>
    </w:r>
    <w:r>
      <w:rPr>
        <w:sz w:val="12"/>
        <w:lang w:val="en-CA" w:eastAsia="en-C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sz w:val="24"/>
      <w:lang w:val="en-US" w:eastAsia="en-US"/>
    </w:rPr>
  </w:style>
  <w:style w:type="paragraph" w:styleId="Heading2">
    <w:name w:val="heading 2"/>
    <w:basedOn w:val="Normal"/>
    <w:next w:val="Normal"/>
    <w:qFormat/>
    <w:pPr>
      <w:keepNext w:val="true"/>
      <w:widowControl w:val="false"/>
      <w:ind w:hanging="0" w:start="0" w:end="0"/>
      <w:jc w:val="both"/>
      <w:textAlignment w:val="auto"/>
    </w:pPr>
    <w:rPr>
      <w:sz w:val="24"/>
      <w:u w:val="single"/>
      <w:lang w:val="en-US" w:eastAsia="en-US"/>
    </w:rPr>
  </w:style>
  <w:style w:type="paragraph" w:styleId="Heading3">
    <w:name w:val="heading 3"/>
    <w:basedOn w:val="Normal"/>
    <w:next w:val="Normal"/>
    <w:qFormat/>
    <w:pPr>
      <w:keepNext w:val="true"/>
      <w:widowControl w:val="false"/>
      <w:tabs>
        <w:tab w:val="left" w:pos="720" w:leader="none"/>
      </w:tabs>
      <w:ind w:hanging="0" w:start="1440" w:end="0"/>
      <w:jc w:val="both"/>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left" w:pos="720" w:leader="none"/>
        <w:tab w:val="left" w:pos="8280" w:leader="dot"/>
        <w:tab w:val="right" w:pos="8640" w:leader="none"/>
        <w:tab w:val="left" w:pos="9072" w:leader="dot"/>
      </w:tabs>
      <w:spacing w:lineRule="atLeast" w:line="360" w:before="0" w:after="240"/>
      <w:ind w:hanging="0" w:start="0" w:end="720"/>
      <w:jc w:val="both"/>
      <w:textAlignment w:val="auto"/>
    </w:pPr>
    <w:rPr>
      <w:rFonts w:ascii="Times" w:hAnsi="Times"/>
      <w:b/>
      <w:caps/>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both"/>
      <w:textAlignment w:val="auto"/>
    </w:pPr>
    <w:rPr>
      <w:sz w:val="16"/>
      <w:lang w:val="en-US" w:eastAsia="en-US"/>
    </w:rPr>
  </w:style>
  <w:style w:type="paragraph" w:styleId="EnvelopeAddress">
    <w:name w:val="envelope address"/>
    <w:basedOn w:val="Normal"/>
    <w:pPr>
      <w:widowControl w:val="false"/>
      <w:ind w:hanging="0" w:start="2880" w:end="0"/>
      <w:jc w:val="both"/>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both"/>
      <w:textAlignment w:val="auto"/>
    </w:pPr>
    <w:rPr>
      <w:sz w:val="24"/>
      <w:lang w:val="en-US" w:eastAsia="en-US"/>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BodyText2">
    <w:name w:val="Body Text 2"/>
    <w:basedOn w:val="Normal"/>
    <w:qFormat/>
    <w:pPr>
      <w:widowControl w:val="false"/>
      <w:ind w:hanging="0" w:start="720" w:end="0"/>
      <w:jc w:val="both"/>
      <w:textAlignment w:val="auto"/>
    </w:pPr>
    <w:rPr>
      <w:sz w:val="24"/>
      <w:lang w:val="en-US" w:eastAsia="en-US"/>
    </w:rPr>
  </w:style>
  <w:style w:type="paragraph" w:styleId="BodyTextIndent3">
    <w:name w:val="Body Text Indent 3"/>
    <w:basedOn w:val="Normal"/>
    <w:qFormat/>
    <w:pPr>
      <w:widowControl w:val="false"/>
      <w:tabs>
        <w:tab w:val="left" w:pos="720" w:leader="none"/>
      </w:tabs>
      <w:ind w:firstLine="720" w:start="0" w:end="0"/>
      <w:jc w:val="both"/>
      <w:textAlignment w:val="auto"/>
    </w:pPr>
    <w:rPr>
      <w:sz w:val="24"/>
      <w:lang w:val="en-US" w:eastAsia="en-US"/>
    </w:rPr>
  </w:style>
  <w:style w:type="paragraph" w:styleId="BodyTextIndent2">
    <w:name w:val="Body Text Indent 2"/>
    <w:basedOn w:val="Normal"/>
    <w:qFormat/>
    <w:pPr>
      <w:widowControl w:val="false"/>
      <w:tabs>
        <w:tab w:val="left" w:pos="720" w:leader="none"/>
      </w:tabs>
      <w:ind w:firstLine="720" w:start="72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1439</Words>
  <Characters>0</Characters>
  <CharactersWithSpaces>8206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2000-06-13T22:21:00Z</dcterms:created>
  <dc:creator>gnemec</dc:creator>
  <dc:description/>
  <dc:language>en-CA</dc:language>
  <cp:lastModifiedBy/>
  <cp:lastPrinted>2000-06-14T08:50:00Z</cp:lastPrinted>
  <dcterms:modified xsi:type="dcterms:W3CDTF">2000-06-14T08:55:00Z</dcterms:modified>
  <cp:revision>4</cp:revision>
  <dc:subject/>
  <dc:title>AMENDMENT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pradfor</vt:lpwstr>
  </property>
</Properties>
</file>