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Term Sheet</w:t>
      </w:r>
    </w:p>
    <w:p>
      <w:pPr>
        <w:pStyle w:val="Heading"/>
        <w:rPr>
          <w:sz w:val="22"/>
        </w:rPr>
      </w:pPr>
      <w:r>
        <w:rPr>
          <w:sz w:val="22"/>
        </w:rPr>
        <w:t>for the Purchase by</w:t>
      </w:r>
    </w:p>
    <w:p>
      <w:pPr>
        <w:pStyle w:val="Heading"/>
        <w:rPr>
          <w:sz w:val="22"/>
        </w:rPr>
      </w:pPr>
      <w:r>
        <w:rPr>
          <w:sz w:val="22"/>
        </w:rPr>
        <w:t>Mesquite Investors, L.L.C.</w:t>
      </w:r>
    </w:p>
    <w:p>
      <w:pPr>
        <w:pStyle w:val="Heading"/>
        <w:rPr>
          <w:sz w:val="22"/>
        </w:rPr>
      </w:pPr>
      <w:r>
        <w:rPr>
          <w:sz w:val="22"/>
        </w:rPr>
        <w:t>of</w:t>
      </w:r>
    </w:p>
    <w:p>
      <w:pPr>
        <w:pStyle w:val="Heading"/>
        <w:rPr>
          <w:sz w:val="22"/>
        </w:rPr>
      </w:pPr>
      <w:r>
        <w:rPr>
          <w:sz w:val="22"/>
        </w:rPr>
        <w:t>all the Economic Interests in East Coast Power, L.L.C.</w:t>
      </w:r>
    </w:p>
    <w:p>
      <w:pPr>
        <w:pStyle w:val="Heading"/>
        <w:rPr>
          <w:sz w:val="22"/>
        </w:rPr>
      </w:pPr>
      <w:r>
        <w:rPr>
          <w:sz w:val="22"/>
        </w:rPr>
        <w:t>held by</w:t>
      </w:r>
    </w:p>
    <w:p>
      <w:pPr>
        <w:pStyle w:val="Heading"/>
        <w:rPr>
          <w:sz w:val="22"/>
        </w:rPr>
      </w:pPr>
      <w:r>
        <w:rPr>
          <w:sz w:val="22"/>
        </w:rPr>
        <w:t>East Coast Power Holding Company, L.L.C.,</w:t>
      </w:r>
    </w:p>
    <w:p>
      <w:pPr>
        <w:pStyle w:val="Heading"/>
        <w:rPr>
          <w:sz w:val="22"/>
        </w:rPr>
      </w:pPr>
      <w:r>
        <w:rPr>
          <w:sz w:val="22"/>
        </w:rPr>
        <w:t>California Public Employees’ Retirement System and</w:t>
      </w:r>
    </w:p>
    <w:p>
      <w:pPr>
        <w:pStyle w:val="Heading"/>
        <w:rPr>
          <w:sz w:val="22"/>
        </w:rPr>
      </w:pPr>
      <w:r>
        <w:rPr>
          <w:sz w:val="22"/>
        </w:rPr>
        <w:t>Enron Corp.</w:t>
      </w:r>
    </w:p>
    <w:p>
      <w:pPr>
        <w:pStyle w:val="Normal"/>
        <w:rPr>
          <w:sz w:val="22"/>
        </w:rPr>
      </w:pPr>
      <w:r>
        <w:rPr>
          <w:sz w:val="22"/>
        </w:rPr>
      </w:r>
    </w:p>
    <w:p>
      <w:pPr>
        <w:pStyle w:val="Normal"/>
        <w:rPr>
          <w:sz w:val="22"/>
        </w:rPr>
      </w:pPr>
      <w:r>
        <w:rPr>
          <w:sz w:val="22"/>
        </w:rPr>
      </w:r>
    </w:p>
    <w:p>
      <w:pPr>
        <w:pStyle w:val="Heading2"/>
        <w:ind w:hanging="0" w:start="0"/>
        <w:rPr/>
      </w:pPr>
      <w:r>
        <w:rPr/>
        <w:t>Introduction</w:t>
      </w:r>
    </w:p>
    <w:p>
      <w:pPr>
        <w:pStyle w:val="Normal"/>
        <w:jc w:val="both"/>
        <w:rPr>
          <w:sz w:val="24"/>
        </w:rPr>
      </w:pPr>
      <w:r>
        <w:rPr>
          <w:sz w:val="24"/>
        </w:rPr>
        <w:t>Mesquite Investors, L.L.C., or its designee (the “Buyer”), proposes to purchase from East Coast Power Holding Company, L.L.C. (“ECP Holding”), the California Public Employees’ Retirement System (“CalPERS”) (ECP Holding and CalPERS are herein collectively referred to as the “Sellers”) and Enron Corp. all of their economic interests in East Coast Power, L.L.C. (“ECP”) according to the following terms and conditions (the “Transaction”).</w:t>
      </w:r>
    </w:p>
    <w:p>
      <w:pPr>
        <w:pStyle w:val="Normal"/>
        <w:jc w:val="both"/>
        <w:rPr>
          <w:sz w:val="24"/>
        </w:rPr>
      </w:pPr>
      <w:r>
        <w:rPr>
          <w:sz w:val="24"/>
        </w:rPr>
      </w:r>
    </w:p>
    <w:p>
      <w:pPr>
        <w:pStyle w:val="Heading1"/>
        <w:ind w:hanging="0" w:start="0"/>
        <w:jc w:val="both"/>
        <w:rPr>
          <w:sz w:val="24"/>
        </w:rPr>
      </w:pPr>
      <w:r>
        <w:rPr>
          <w:sz w:val="24"/>
        </w:rPr>
        <w:t>Consideration for Equity Interests</w:t>
      </w:r>
    </w:p>
    <w:p>
      <w:pPr>
        <w:pStyle w:val="BodyText2"/>
        <w:jc w:val="both"/>
        <w:rPr>
          <w:sz w:val="24"/>
        </w:rPr>
      </w:pPr>
      <w:r>
        <w:rPr>
          <w:sz w:val="24"/>
        </w:rPr>
        <w:t>The Buyer will provide the Sellers consideration for their equity interests in ECP for the Transaction consisting of the following:</w:t>
      </w:r>
    </w:p>
    <w:p>
      <w:pPr>
        <w:pStyle w:val="BodyText2"/>
        <w:jc w:val="both"/>
        <w:rPr>
          <w:sz w:val="24"/>
        </w:rPr>
      </w:pPr>
      <w:r>
        <w:rPr>
          <w:sz w:val="24"/>
        </w:rPr>
      </w:r>
    </w:p>
    <w:p>
      <w:pPr>
        <w:pStyle w:val="BodyText2"/>
        <w:numPr>
          <w:ilvl w:val="0"/>
          <w:numId w:val="3"/>
        </w:numPr>
        <w:jc w:val="both"/>
        <w:rPr>
          <w:sz w:val="24"/>
        </w:rPr>
      </w:pPr>
      <w:r>
        <w:rPr>
          <w:sz w:val="24"/>
        </w:rPr>
        <w:t>The Deferred Payments</w:t>
      </w:r>
    </w:p>
    <w:p>
      <w:pPr>
        <w:pStyle w:val="BodyText2"/>
        <w:numPr>
          <w:ilvl w:val="0"/>
          <w:numId w:val="3"/>
        </w:numPr>
        <w:jc w:val="both"/>
        <w:rPr>
          <w:sz w:val="24"/>
        </w:rPr>
      </w:pPr>
      <w:r>
        <w:rPr>
          <w:sz w:val="24"/>
        </w:rPr>
        <w:t>The Scheduled Payments</w:t>
      </w:r>
    </w:p>
    <w:p>
      <w:pPr>
        <w:pStyle w:val="BodyText2"/>
        <w:numPr>
          <w:ilvl w:val="0"/>
          <w:numId w:val="3"/>
        </w:numPr>
        <w:jc w:val="both"/>
        <w:rPr>
          <w:sz w:val="24"/>
        </w:rPr>
      </w:pPr>
      <w:r>
        <w:rPr>
          <w:sz w:val="24"/>
        </w:rPr>
        <w:t>The Contingent Payments.</w:t>
      </w:r>
    </w:p>
    <w:p>
      <w:pPr>
        <w:pStyle w:val="BodyText2"/>
        <w:jc w:val="both"/>
        <w:rPr>
          <w:sz w:val="24"/>
        </w:rPr>
      </w:pPr>
      <w:r>
        <w:rPr>
          <w:sz w:val="24"/>
        </w:rPr>
      </w:r>
    </w:p>
    <w:p>
      <w:pPr>
        <w:pStyle w:val="BodyText2"/>
        <w:jc w:val="both"/>
        <w:rPr>
          <w:sz w:val="24"/>
        </w:rPr>
      </w:pPr>
      <w:r>
        <w:rPr>
          <w:sz w:val="24"/>
        </w:rPr>
        <w:t>Each of these payments is defined below.  The form and structure of each of the payments identified herein shall be mutually agreed in order to maximize the efficiency of the Transaction from a GAAP and tax perspective.</w:t>
      </w:r>
    </w:p>
    <w:p>
      <w:pPr>
        <w:pStyle w:val="BodyText2"/>
        <w:jc w:val="both"/>
        <w:rPr>
          <w:sz w:val="24"/>
        </w:rPr>
      </w:pPr>
      <w:r>
        <w:rPr>
          <w:sz w:val="24"/>
        </w:rPr>
      </w:r>
    </w:p>
    <w:p>
      <w:pPr>
        <w:pStyle w:val="BodyText2"/>
        <w:jc w:val="both"/>
        <w:rPr>
          <w:b/>
          <w:sz w:val="24"/>
        </w:rPr>
      </w:pPr>
      <w:r>
        <w:rPr>
          <w:b/>
          <w:sz w:val="24"/>
        </w:rPr>
        <w:t>The Deferred Payments</w:t>
      </w:r>
    </w:p>
    <w:p>
      <w:pPr>
        <w:pStyle w:val="BodyText2"/>
        <w:jc w:val="both"/>
        <w:rPr>
          <w:sz w:val="24"/>
        </w:rPr>
      </w:pPr>
      <w:r>
        <w:rPr>
          <w:sz w:val="24"/>
        </w:rPr>
        <w:t xml:space="preserve">The Buyer will provide the Sellers with cash payments equal to the consideration identified on Exhibit A on the dates noted therein. </w:t>
      </w:r>
    </w:p>
    <w:p>
      <w:pPr>
        <w:pStyle w:val="BodyText2"/>
        <w:jc w:val="both"/>
        <w:rPr>
          <w:sz w:val="24"/>
        </w:rPr>
      </w:pPr>
      <w:r>
        <w:rPr>
          <w:sz w:val="24"/>
        </w:rPr>
      </w:r>
    </w:p>
    <w:p>
      <w:pPr>
        <w:pStyle w:val="BodyText2"/>
        <w:jc w:val="both"/>
        <w:rPr>
          <w:sz w:val="24"/>
        </w:rPr>
      </w:pPr>
      <w:r>
        <w:rPr>
          <w:b/>
          <w:sz w:val="24"/>
        </w:rPr>
        <w:t>The Scheduled Payments</w:t>
      </w:r>
    </w:p>
    <w:p>
      <w:pPr>
        <w:pStyle w:val="BodyText2"/>
        <w:jc w:val="both"/>
        <w:rPr>
          <w:sz w:val="24"/>
        </w:rPr>
      </w:pPr>
      <w:r>
        <w:rPr>
          <w:sz w:val="24"/>
        </w:rPr>
        <w:t>ECP will issue the Sellers at the closing of the Transaction a new, non-voting Class “B” preferred equity interest (the “Class B Preferred Interest”) in ECP which shall entitle the holder to a series of three annual dividend payments from ECP equal to $5,666,667.00.  Each of these annual payments are payable on the first permitted distribution date under the then existing financing agreements during the fourth quarter of 2001, 2002 and 2003.</w:t>
      </w:r>
    </w:p>
    <w:p>
      <w:pPr>
        <w:pStyle w:val="BodyText2"/>
        <w:jc w:val="both"/>
        <w:rPr>
          <w:b/>
          <w:sz w:val="24"/>
        </w:rPr>
      </w:pPr>
      <w:r>
        <w:rPr>
          <w:b/>
          <w:sz w:val="24"/>
        </w:rPr>
      </w:r>
    </w:p>
    <w:p>
      <w:pPr>
        <w:pStyle w:val="BodyText2"/>
        <w:jc w:val="both"/>
        <w:rPr>
          <w:b/>
          <w:sz w:val="24"/>
        </w:rPr>
      </w:pPr>
      <w:r>
        <w:rPr>
          <w:b/>
          <w:sz w:val="24"/>
        </w:rPr>
        <w:t>The Contingent Payments</w:t>
      </w:r>
    </w:p>
    <w:p>
      <w:pPr>
        <w:pStyle w:val="BodyText2"/>
        <w:jc w:val="both"/>
        <w:rPr>
          <w:sz w:val="24"/>
        </w:rPr>
      </w:pPr>
      <w:r>
        <w:rPr>
          <w:sz w:val="24"/>
        </w:rPr>
        <w:t xml:space="preserve">The Class B Preferred Interest will also be entitled to receive an amount equal to the product of a restructuring fee multiplied by a set amount of kilowatt capacity with respect to each of the Bayonne, Camden and Linden 1-5 facilities which undergoes a “Restructuring.”  The fee schedule and the kilowatt capacity amounts are identified on Exhibit “B.”  Each payment under this entitlement shall be due and payable to the holder of the Class B Preferred Interest within five (5) business days subsequent to the financial closing of a Restructuring.  For purposes of this Agreement, a Restructuring shall be defined as a voluntary, material modification of the principal terms of each of the PURPA PPA at the Camden, Bayonne and Linden 1-5 facilities and any related monetization transaction.  Upon the later to occur of (i) the Restructuring of all of the existing PURPA PPAs and (ii) the last dividend paid under the Scheduled Payment obligations of ECP, all rights of the Class B Preferred Interest in ECP shall terminate. </w:t>
      </w:r>
    </w:p>
    <w:p>
      <w:pPr>
        <w:pStyle w:val="BodyText2"/>
        <w:jc w:val="both"/>
        <w:rPr>
          <w:sz w:val="24"/>
        </w:rPr>
      </w:pPr>
      <w:r>
        <w:rPr>
          <w:sz w:val="24"/>
        </w:rPr>
      </w:r>
    </w:p>
    <w:p>
      <w:pPr>
        <w:pStyle w:val="Heading1"/>
        <w:ind w:hanging="0" w:start="0"/>
        <w:jc w:val="both"/>
        <w:rPr>
          <w:sz w:val="24"/>
        </w:rPr>
      </w:pPr>
      <w:r>
        <w:rPr>
          <w:sz w:val="24"/>
        </w:rPr>
        <w:t>Effective Date</w:t>
      </w:r>
    </w:p>
    <w:p>
      <w:pPr>
        <w:pStyle w:val="Normal"/>
        <w:jc w:val="both"/>
        <w:rPr/>
      </w:pPr>
      <w:r>
        <w:rPr>
          <w:sz w:val="24"/>
        </w:rPr>
        <w:t xml:space="preserve">The Effective Date of the Transaction will be December 31, 2000.  </w:t>
      </w:r>
      <w:r>
        <w:rPr>
          <w:b/>
          <w:sz w:val="24"/>
        </w:rPr>
        <w:t>[The Buyer and the Sellers shall determine the amount of distributable cash available in ECP and accrued through December 31, 2000 and its impact on the amount of the Deferred Payments consistent with this Effective Date.]</w:t>
      </w:r>
    </w:p>
    <w:p>
      <w:pPr>
        <w:pStyle w:val="Normal"/>
        <w:jc w:val="both"/>
        <w:rPr>
          <w:b/>
          <w:sz w:val="24"/>
        </w:rPr>
      </w:pPr>
      <w:r>
        <w:rPr>
          <w:b/>
          <w:sz w:val="24"/>
        </w:rPr>
      </w:r>
    </w:p>
    <w:p>
      <w:pPr>
        <w:pStyle w:val="Heading5"/>
        <w:ind w:hanging="0" w:start="0"/>
        <w:rPr/>
      </w:pPr>
      <w:r>
        <w:rPr/>
        <w:t>Taxes</w:t>
      </w:r>
    </w:p>
    <w:p>
      <w:pPr>
        <w:pStyle w:val="Normal"/>
        <w:jc w:val="both"/>
        <w:rPr>
          <w:sz w:val="24"/>
        </w:rPr>
      </w:pPr>
      <w:r>
        <w:rPr>
          <w:sz w:val="24"/>
        </w:rPr>
        <w:t>All income, capital gains and transfer taxes arising out of the Transaction shall be for the account of the Sellers.</w:t>
      </w:r>
    </w:p>
    <w:p>
      <w:pPr>
        <w:pStyle w:val="Normal"/>
        <w:rPr>
          <w:sz w:val="24"/>
        </w:rPr>
      </w:pPr>
      <w:r>
        <w:rPr>
          <w:sz w:val="24"/>
        </w:rPr>
      </w:r>
    </w:p>
    <w:p>
      <w:pPr>
        <w:pStyle w:val="Heading1"/>
        <w:ind w:hanging="0" w:start="0"/>
        <w:jc w:val="both"/>
        <w:rPr>
          <w:sz w:val="22"/>
        </w:rPr>
      </w:pPr>
      <w:r>
        <w:rPr>
          <w:sz w:val="24"/>
        </w:rPr>
        <w:t>Conditions Precedent to Closing of the Transaction</w:t>
      </w:r>
    </w:p>
    <w:p>
      <w:pPr>
        <w:pStyle w:val="Normal"/>
        <w:numPr>
          <w:ilvl w:val="0"/>
          <w:numId w:val="2"/>
        </w:numPr>
        <w:jc w:val="both"/>
        <w:rPr>
          <w:sz w:val="24"/>
        </w:rPr>
      </w:pPr>
      <w:r>
        <w:rPr>
          <w:sz w:val="24"/>
        </w:rPr>
        <w:t>El Paso Merchant Energy, or its designee, will assume the rights and responsibilities of Enron Corp. (“Enron”) under the existing subordinated notes issued by ECP in favor of Enron for consideration equal to par value of the face amount of such subordinated notes, plus accrued and unpaid interest through the closing date of this Transaction.</w:t>
      </w:r>
    </w:p>
    <w:p>
      <w:pPr>
        <w:pStyle w:val="Normal"/>
        <w:jc w:val="both"/>
        <w:rPr>
          <w:sz w:val="24"/>
        </w:rPr>
      </w:pPr>
      <w:r>
        <w:rPr>
          <w:sz w:val="24"/>
        </w:rPr>
      </w:r>
    </w:p>
    <w:p>
      <w:pPr>
        <w:pStyle w:val="Normal"/>
        <w:numPr>
          <w:ilvl w:val="0"/>
          <w:numId w:val="2"/>
        </w:numPr>
        <w:jc w:val="both"/>
        <w:rPr>
          <w:sz w:val="24"/>
        </w:rPr>
      </w:pPr>
      <w:r>
        <w:rPr>
          <w:sz w:val="24"/>
        </w:rPr>
        <w:t>Each of the Parties must have obtained approval of their respective Board of Directors and all other required third-party consents, if any.</w:t>
      </w:r>
    </w:p>
    <w:p>
      <w:pPr>
        <w:pStyle w:val="Normal"/>
        <w:jc w:val="both"/>
        <w:rPr>
          <w:sz w:val="22"/>
        </w:rPr>
      </w:pPr>
      <w:r>
        <w:rPr>
          <w:sz w:val="22"/>
        </w:rPr>
      </w:r>
    </w:p>
    <w:p>
      <w:pPr>
        <w:pStyle w:val="Heading2"/>
        <w:ind w:hanging="0" w:start="0"/>
        <w:jc w:val="both"/>
        <w:rPr/>
      </w:pPr>
      <w:r>
        <w:rPr/>
        <w:t>Confidential Nature of Discussions</w:t>
      </w:r>
    </w:p>
    <w:p>
      <w:pPr>
        <w:pStyle w:val="BodyText2"/>
        <w:jc w:val="both"/>
        <w:rPr>
          <w:sz w:val="24"/>
        </w:rPr>
      </w:pPr>
      <w:r>
        <w:rPr>
          <w:sz w:val="24"/>
        </w:rPr>
        <w:t>The information in this document is confidential and reflects private discussions held solely between the Buyer, the Sellers and Enron.  The information contained herein is not intended for any parties other than the Buyer, the Sellers and Enron.</w:t>
      </w:r>
    </w:p>
    <w:p>
      <w:pPr>
        <w:pStyle w:val="BodyText2"/>
        <w:jc w:val="both"/>
        <w:rPr>
          <w:sz w:val="24"/>
        </w:rPr>
      </w:pPr>
      <w:r>
        <w:rPr>
          <w:sz w:val="24"/>
        </w:rPr>
      </w:r>
    </w:p>
    <w:p>
      <w:pPr>
        <w:pStyle w:val="Normal"/>
        <w:jc w:val="both"/>
        <w:rPr>
          <w:sz w:val="24"/>
        </w:rPr>
      </w:pPr>
      <w:r>
        <w:rPr>
          <w:b/>
          <w:sz w:val="24"/>
        </w:rPr>
        <w:t>Closing Costs</w:t>
      </w:r>
    </w:p>
    <w:p>
      <w:pPr>
        <w:pStyle w:val="Normal"/>
        <w:jc w:val="both"/>
        <w:rPr>
          <w:sz w:val="22"/>
        </w:rPr>
      </w:pPr>
      <w:r>
        <w:rPr>
          <w:sz w:val="24"/>
        </w:rPr>
        <w:t>The Buyer, the Sellers and Enron will each be individually responsible for their respective closing costs incurred in conjunction with this transaction.</w:t>
      </w:r>
    </w:p>
    <w:p>
      <w:pPr>
        <w:pStyle w:val="Normal"/>
        <w:jc w:val="both"/>
        <w:rPr>
          <w:sz w:val="24"/>
        </w:rPr>
      </w:pPr>
      <w:r>
        <w:rPr>
          <w:sz w:val="24"/>
        </w:rPr>
      </w:r>
    </w:p>
    <w:p>
      <w:pPr>
        <w:pStyle w:val="BodyText"/>
        <w:jc w:val="both"/>
        <w:rPr/>
      </w:pPr>
      <w:r>
        <w:rPr/>
        <w:t>This proposal is for discussion purposes only and is not intended to be complete and all inclusive of the terms and conditions of the transaction.  This is neither an offer nor a commitment of El Paso Energy Corp or any of its affiliates.  The transaction described herein is subject to (i) standard due diligence (ii) approval of El Paso ’s board of directors, (iii) satisfaction of all Conditions Precedent to Transaction Closing, and (iv) execution of all definitive agreements containing standard and appropriate provisions, including those relating to credit, liquidation, indemnification and limitation of damages and to appropriate representations, warranties, covenants, and events of default.</w:t>
      </w:r>
      <w:r>
        <w:rPr>
          <w:b w:val="false"/>
        </w:rPr>
        <w:t xml:space="preserve"> </w:t>
      </w:r>
    </w:p>
    <w:p>
      <w:pPr>
        <w:pStyle w:val="BodyText"/>
        <w:jc w:val="both"/>
        <w:rPr>
          <w:b w:val="false"/>
        </w:rPr>
      </w:pPr>
      <w:r>
        <w:rPr>
          <w:b w:val="false"/>
        </w:rPr>
      </w:r>
      <w:r>
        <w:br w:type="page"/>
      </w:r>
    </w:p>
    <w:p>
      <w:pPr>
        <w:pStyle w:val="Heading"/>
        <w:rPr>
          <w:u w:val="single"/>
        </w:rPr>
      </w:pPr>
      <w:r>
        <w:rPr>
          <w:u w:val="single"/>
        </w:rPr>
        <w:t>Exhibit A</w:t>
      </w:r>
    </w:p>
    <w:p>
      <w:pPr>
        <w:pStyle w:val="Normal"/>
        <w:rPr>
          <w:u w:val="single"/>
        </w:rPr>
      </w:pPr>
      <w:r>
        <w:rPr>
          <w:u w:val="single"/>
        </w:rPr>
      </w:r>
    </w:p>
    <w:p>
      <w:pPr>
        <w:pStyle w:val="Normal"/>
        <w:rPr/>
      </w:pPr>
      <w:r>
        <w:rPr>
          <w:b/>
          <w:sz w:val="24"/>
          <w:u w:val="single"/>
        </w:rPr>
        <w:t>Date</w:t>
      </w:r>
      <w:r>
        <w:rPr>
          <w:b/>
          <w:sz w:val="24"/>
        </w:rPr>
        <w:tab/>
        <w:tab/>
        <w:tab/>
        <w:tab/>
        <w:tab/>
      </w:r>
      <w:r>
        <w:rPr>
          <w:b/>
          <w:sz w:val="24"/>
          <w:u w:val="single"/>
        </w:rPr>
        <w:t>Payment</w:t>
      </w:r>
    </w:p>
    <w:p>
      <w:pPr>
        <w:pStyle w:val="Normal"/>
        <w:rPr>
          <w:b/>
          <w:sz w:val="24"/>
          <w:u w:val="single"/>
        </w:rPr>
      </w:pPr>
      <w:r>
        <w:rPr>
          <w:b/>
          <w:sz w:val="24"/>
          <w:u w:val="single"/>
        </w:rPr>
      </w:r>
    </w:p>
    <w:p>
      <w:pPr>
        <w:pStyle w:val="Normal"/>
        <w:spacing w:lineRule="auto" w:line="360"/>
        <w:rPr>
          <w:sz w:val="24"/>
        </w:rPr>
      </w:pPr>
      <w:r>
        <w:rPr>
          <w:sz w:val="24"/>
        </w:rPr>
        <w:t>November 15, 2001</w:t>
        <w:tab/>
        <w:tab/>
        <w:tab/>
        <w:t>$17,049,600</w:t>
      </w:r>
    </w:p>
    <w:p>
      <w:pPr>
        <w:pStyle w:val="Normal"/>
        <w:spacing w:lineRule="auto" w:line="360"/>
        <w:rPr>
          <w:sz w:val="24"/>
        </w:rPr>
      </w:pPr>
      <w:r>
        <w:rPr>
          <w:sz w:val="24"/>
        </w:rPr>
        <w:t>November 15, 2002</w:t>
        <w:tab/>
        <w:tab/>
        <w:tab/>
        <w:t>$17,902,080</w:t>
      </w:r>
    </w:p>
    <w:p>
      <w:pPr>
        <w:pStyle w:val="Normal"/>
        <w:spacing w:lineRule="auto" w:line="360"/>
        <w:rPr>
          <w:sz w:val="24"/>
        </w:rPr>
      </w:pPr>
      <w:r>
        <w:rPr>
          <w:sz w:val="24"/>
        </w:rPr>
        <w:t>November 15, 2003</w:t>
        <w:tab/>
        <w:tab/>
        <w:tab/>
        <w:t>$18,797,184</w:t>
      </w:r>
    </w:p>
    <w:p>
      <w:pPr>
        <w:pStyle w:val="Normal"/>
        <w:spacing w:lineRule="auto" w:line="360"/>
        <w:rPr>
          <w:sz w:val="24"/>
        </w:rPr>
      </w:pPr>
      <w:r>
        <w:rPr>
          <w:sz w:val="24"/>
        </w:rPr>
        <w:t>November 15, 2004</w:t>
        <w:tab/>
        <w:tab/>
        <w:tab/>
        <w:t>$19,737,043</w:t>
      </w:r>
    </w:p>
    <w:p>
      <w:pPr>
        <w:pStyle w:val="Normal"/>
        <w:spacing w:lineRule="auto" w:line="360"/>
        <w:rPr>
          <w:sz w:val="24"/>
        </w:rPr>
      </w:pPr>
      <w:r>
        <w:rPr>
          <w:sz w:val="24"/>
        </w:rPr>
        <w:t>November 15, 2005</w:t>
        <w:tab/>
        <w:tab/>
        <w:tab/>
        <w:t>$20,723,895</w:t>
      </w:r>
    </w:p>
    <w:p>
      <w:pPr>
        <w:pStyle w:val="Normal"/>
        <w:spacing w:lineRule="auto" w:line="360"/>
        <w:rPr>
          <w:sz w:val="24"/>
        </w:rPr>
      </w:pPr>
      <w:r>
        <w:rPr>
          <w:sz w:val="24"/>
        </w:rPr>
        <w:t>November 15, 2006</w:t>
        <w:tab/>
        <w:tab/>
        <w:tab/>
        <w:t>$21,760,090</w:t>
      </w:r>
    </w:p>
    <w:p>
      <w:pPr>
        <w:pStyle w:val="Normal"/>
        <w:spacing w:lineRule="auto" w:line="360"/>
        <w:rPr>
          <w:sz w:val="24"/>
        </w:rPr>
      </w:pPr>
      <w:r>
        <w:rPr>
          <w:sz w:val="24"/>
        </w:rPr>
        <w:t>November 15, 2007</w:t>
        <w:tab/>
        <w:tab/>
        <w:tab/>
        <w:t>$22,848,095</w:t>
      </w:r>
    </w:p>
    <w:p>
      <w:pPr>
        <w:pStyle w:val="Normal"/>
        <w:spacing w:lineRule="auto" w:line="360"/>
        <w:rPr>
          <w:sz w:val="24"/>
        </w:rPr>
      </w:pPr>
      <w:r>
        <w:rPr>
          <w:sz w:val="24"/>
        </w:rPr>
        <w:t>November 15, 2008</w:t>
        <w:tab/>
        <w:tab/>
        <w:tab/>
        <w:t>$23,990,499</w:t>
      </w:r>
    </w:p>
    <w:p>
      <w:pPr>
        <w:pStyle w:val="Normal"/>
        <w:spacing w:lineRule="auto" w:line="360"/>
        <w:rPr>
          <w:sz w:val="24"/>
        </w:rPr>
      </w:pPr>
      <w:r>
        <w:rPr>
          <w:sz w:val="24"/>
        </w:rPr>
        <w:t>November 15, 2009</w:t>
        <w:tab/>
        <w:tab/>
        <w:tab/>
        <w:t>$25,190,024</w:t>
      </w:r>
    </w:p>
    <w:p>
      <w:pPr>
        <w:pStyle w:val="Normal"/>
        <w:spacing w:lineRule="auto" w:line="360"/>
        <w:rPr>
          <w:sz w:val="24"/>
        </w:rPr>
      </w:pPr>
      <w:r>
        <w:rPr>
          <w:sz w:val="24"/>
        </w:rPr>
        <w:t>November 15, 2010</w:t>
        <w:tab/>
        <w:tab/>
        <w:tab/>
        <w:t>$26,449,526</w:t>
      </w:r>
    </w:p>
    <w:p>
      <w:pPr>
        <w:pStyle w:val="Normal"/>
        <w:spacing w:lineRule="auto" w:line="360"/>
        <w:rPr>
          <w:sz w:val="24"/>
        </w:rPr>
      </w:pPr>
      <w:r>
        <w:rPr>
          <w:sz w:val="24"/>
        </w:rPr>
        <w:t>November 15, 2011</w:t>
        <w:tab/>
        <w:tab/>
        <w:tab/>
        <w:t>$27,772,002</w:t>
      </w:r>
    </w:p>
    <w:p>
      <w:pPr>
        <w:pStyle w:val="Normal"/>
        <w:spacing w:lineRule="auto" w:line="360"/>
        <w:rPr>
          <w:sz w:val="24"/>
        </w:rPr>
      </w:pPr>
      <w:r>
        <w:rPr>
          <w:sz w:val="24"/>
        </w:rPr>
        <w:t>November 15, 2012</w:t>
        <w:tab/>
        <w:tab/>
        <w:tab/>
        <w:t>$29,160,602</w:t>
      </w:r>
      <w:r>
        <w:br w:type="page"/>
      </w:r>
    </w:p>
    <w:p>
      <w:pPr>
        <w:pStyle w:val="BodyText"/>
        <w:rPr>
          <w:b w:val="false"/>
          <w:sz w:val="24"/>
        </w:rPr>
      </w:pPr>
      <w:r>
        <w:rPr>
          <w:b w:val="false"/>
          <w:sz w:val="24"/>
        </w:rPr>
      </w:r>
    </w:p>
    <w:p>
      <w:pPr>
        <w:pStyle w:val="BodyText"/>
        <w:jc w:val="center"/>
        <w:rPr>
          <w:b w:val="false"/>
        </w:rPr>
      </w:pPr>
      <w:r>
        <w:rPr>
          <w:b w:val="false"/>
        </w:rPr>
      </w:r>
    </w:p>
    <w:p>
      <w:pPr>
        <w:pStyle w:val="BodyText"/>
        <w:jc w:val="center"/>
        <w:rPr>
          <w:b w:val="false"/>
        </w:rPr>
      </w:pPr>
      <w:r>
        <w:rPr>
          <w:b w:val="false"/>
        </w:rPr>
      </w:r>
    </w:p>
    <w:p>
      <w:pPr>
        <w:pStyle w:val="BodyText"/>
        <w:jc w:val="center"/>
        <w:rPr>
          <w:sz w:val="24"/>
          <w:u w:val="single"/>
        </w:rPr>
      </w:pPr>
      <w:r>
        <w:rPr>
          <w:sz w:val="24"/>
          <w:u w:val="single"/>
        </w:rPr>
        <w:t xml:space="preserve"> </w:t>
      </w:r>
      <w:r>
        <w:rPr>
          <w:sz w:val="24"/>
          <w:u w:val="single"/>
        </w:rPr>
        <w:t>Exhibit B</w:t>
      </w:r>
    </w:p>
    <w:p>
      <w:pPr>
        <w:pStyle w:val="BodyText"/>
        <w:jc w:val="center"/>
        <w:rPr>
          <w:sz w:val="24"/>
          <w:u w:val="single"/>
        </w:rPr>
      </w:pPr>
      <w:r>
        <w:rPr>
          <w:sz w:val="24"/>
          <w:u w:val="single"/>
        </w:rPr>
      </w:r>
    </w:p>
    <w:p>
      <w:pPr>
        <w:pStyle w:val="BodyText"/>
        <w:jc w:val="center"/>
        <w:rPr>
          <w:sz w:val="24"/>
          <w:u w:val="single"/>
        </w:rPr>
      </w:pPr>
      <w:r>
        <w:rPr>
          <w:sz w:val="24"/>
          <w:u w:val="single"/>
        </w:rPr>
      </w:r>
    </w:p>
    <w:p>
      <w:pPr>
        <w:pStyle w:val="BodyText"/>
        <w:rPr>
          <w:sz w:val="24"/>
          <w:u w:val="single"/>
        </w:rPr>
      </w:pPr>
      <w:r>
        <w:rPr>
          <w:sz w:val="24"/>
          <w:u w:val="single"/>
        </w:rPr>
      </w:r>
    </w:p>
    <w:p>
      <w:pPr>
        <w:pStyle w:val="BodyText"/>
        <w:rPr/>
      </w:pPr>
      <w:r>
        <w:rPr>
          <w:sz w:val="24"/>
          <w:u w:val="single"/>
        </w:rPr>
        <w:t>Restructuring Year</w:t>
      </w:r>
      <w:r>
        <w:rPr>
          <w:sz w:val="24"/>
        </w:rPr>
        <w:tab/>
        <w:tab/>
        <w:tab/>
        <w:tab/>
      </w:r>
      <w:r>
        <w:rPr>
          <w:sz w:val="24"/>
          <w:u w:val="single"/>
        </w:rPr>
        <w:t>Payment ($/kw)</w:t>
      </w:r>
    </w:p>
    <w:p>
      <w:pPr>
        <w:pStyle w:val="BodyText"/>
        <w:rPr>
          <w:b w:val="false"/>
          <w:sz w:val="24"/>
          <w:u w:val="single"/>
        </w:rPr>
      </w:pPr>
      <w:r>
        <w:rPr>
          <w:b w:val="false"/>
          <w:sz w:val="24"/>
          <w:u w:val="single"/>
        </w:rPr>
      </w:r>
    </w:p>
    <w:p>
      <w:pPr>
        <w:pStyle w:val="BodyText"/>
        <w:rPr>
          <w:b w:val="false"/>
          <w:sz w:val="24"/>
        </w:rPr>
      </w:pPr>
      <w:r>
        <w:rPr>
          <w:b w:val="false"/>
          <w:sz w:val="24"/>
        </w:rPr>
        <w:t>2001</w:t>
        <w:tab/>
        <w:tab/>
        <w:tab/>
        <w:tab/>
        <w:tab/>
        <w:tab/>
        <w:t>$35.00</w:t>
      </w:r>
    </w:p>
    <w:p>
      <w:pPr>
        <w:pStyle w:val="BodyText"/>
        <w:rPr>
          <w:b w:val="false"/>
          <w:sz w:val="24"/>
        </w:rPr>
      </w:pPr>
      <w:r>
        <w:rPr>
          <w:b w:val="false"/>
          <w:sz w:val="24"/>
        </w:rPr>
      </w:r>
    </w:p>
    <w:p>
      <w:pPr>
        <w:pStyle w:val="BodyText"/>
        <w:numPr>
          <w:ilvl w:val="0"/>
          <w:numId w:val="4"/>
        </w:numPr>
        <w:rPr>
          <w:b w:val="false"/>
          <w:sz w:val="24"/>
        </w:rPr>
      </w:pPr>
      <w:r>
        <w:rPr>
          <w:b w:val="false"/>
          <w:sz w:val="24"/>
        </w:rPr>
        <w:t>39.20</w:t>
      </w:r>
    </w:p>
    <w:p>
      <w:pPr>
        <w:pStyle w:val="BodyText"/>
        <w:rPr>
          <w:b w:val="false"/>
          <w:sz w:val="24"/>
        </w:rPr>
      </w:pPr>
      <w:r>
        <w:rPr>
          <w:b w:val="false"/>
          <w:sz w:val="24"/>
        </w:rPr>
      </w:r>
    </w:p>
    <w:p>
      <w:pPr>
        <w:pStyle w:val="BodyText"/>
        <w:rPr>
          <w:b w:val="false"/>
          <w:sz w:val="24"/>
        </w:rPr>
      </w:pPr>
      <w:r>
        <w:rPr>
          <w:b w:val="false"/>
          <w:sz w:val="24"/>
        </w:rPr>
        <w:t>2003</w:t>
        <w:tab/>
        <w:tab/>
        <w:tab/>
        <w:tab/>
        <w:tab/>
        <w:tab/>
        <w:t xml:space="preserve"> 43.90</w:t>
      </w:r>
    </w:p>
    <w:p>
      <w:pPr>
        <w:pStyle w:val="BodyText"/>
        <w:rPr>
          <w:b w:val="false"/>
          <w:sz w:val="24"/>
        </w:rPr>
      </w:pPr>
      <w:r>
        <w:rPr>
          <w:b w:val="false"/>
          <w:sz w:val="24"/>
        </w:rPr>
      </w:r>
    </w:p>
    <w:p>
      <w:pPr>
        <w:pStyle w:val="BodyText"/>
        <w:rPr>
          <w:b w:val="false"/>
          <w:sz w:val="24"/>
        </w:rPr>
      </w:pPr>
      <w:r>
        <w:rPr>
          <w:b w:val="false"/>
          <w:sz w:val="24"/>
        </w:rPr>
        <w:t>2004 - 2017</w:t>
        <w:tab/>
        <w:tab/>
        <w:tab/>
        <w:tab/>
        <w:tab/>
        <w:t xml:space="preserve"> 49.17</w:t>
      </w:r>
    </w:p>
    <w:p>
      <w:pPr>
        <w:pStyle w:val="BodyText"/>
        <w:rPr>
          <w:b w:val="false"/>
          <w:sz w:val="24"/>
        </w:rPr>
      </w:pPr>
      <w:r>
        <w:rPr>
          <w:b w:val="false"/>
          <w:sz w:val="24"/>
        </w:rPr>
      </w:r>
    </w:p>
    <w:p>
      <w:pPr>
        <w:pStyle w:val="BodyText"/>
        <w:rPr>
          <w:b w:val="false"/>
          <w:sz w:val="24"/>
        </w:rPr>
      </w:pPr>
      <w:r>
        <w:rPr>
          <w:b w:val="false"/>
          <w:sz w:val="24"/>
        </w:rPr>
      </w:r>
    </w:p>
    <w:p>
      <w:pPr>
        <w:pStyle w:val="BodyText"/>
        <w:rPr>
          <w:b w:val="false"/>
          <w:sz w:val="24"/>
        </w:rPr>
      </w:pPr>
      <w:r>
        <w:rPr>
          <w:b w:val="false"/>
          <w:sz w:val="24"/>
        </w:rPr>
      </w:r>
    </w:p>
    <w:p>
      <w:pPr>
        <w:pStyle w:val="BodyText"/>
        <w:rPr>
          <w:sz w:val="24"/>
          <w:u w:val="single"/>
        </w:rPr>
      </w:pPr>
      <w:r>
        <w:rPr>
          <w:sz w:val="24"/>
          <w:u w:val="single"/>
        </w:rPr>
        <w:t>Capacity Quantity</w:t>
      </w:r>
    </w:p>
    <w:p>
      <w:pPr>
        <w:pStyle w:val="BodyText"/>
        <w:rPr>
          <w:sz w:val="24"/>
          <w:u w:val="single"/>
        </w:rPr>
      </w:pPr>
      <w:r>
        <w:rPr>
          <w:sz w:val="24"/>
          <w:u w:val="single"/>
        </w:rPr>
      </w:r>
    </w:p>
    <w:p>
      <w:pPr>
        <w:pStyle w:val="BodyText"/>
        <w:rPr>
          <w:b w:val="false"/>
          <w:sz w:val="24"/>
        </w:rPr>
      </w:pPr>
      <w:r>
        <w:rPr>
          <w:b w:val="false"/>
          <w:sz w:val="24"/>
        </w:rPr>
        <w:t>Bayonne Facility</w:t>
        <w:tab/>
        <w:tab/>
        <w:tab/>
        <w:t xml:space="preserve"> </w:t>
        <w:tab/>
        <w:t>176,000 kw</w:t>
      </w:r>
    </w:p>
    <w:p>
      <w:pPr>
        <w:pStyle w:val="BodyText"/>
        <w:rPr>
          <w:b w:val="false"/>
          <w:sz w:val="24"/>
        </w:rPr>
      </w:pPr>
      <w:r>
        <w:rPr>
          <w:b w:val="false"/>
          <w:sz w:val="24"/>
        </w:rPr>
      </w:r>
    </w:p>
    <w:p>
      <w:pPr>
        <w:pStyle w:val="BodyText"/>
        <w:rPr>
          <w:b w:val="false"/>
          <w:sz w:val="24"/>
        </w:rPr>
      </w:pPr>
      <w:r>
        <w:rPr>
          <w:b w:val="false"/>
          <w:sz w:val="24"/>
        </w:rPr>
        <w:t>Camden Facility</w:t>
        <w:tab/>
        <w:tab/>
        <w:tab/>
        <w:tab/>
        <w:t>146,000 kw</w:t>
      </w:r>
    </w:p>
    <w:p>
      <w:pPr>
        <w:pStyle w:val="BodyText"/>
        <w:rPr>
          <w:b w:val="false"/>
          <w:sz w:val="24"/>
        </w:rPr>
      </w:pPr>
      <w:r>
        <w:rPr>
          <w:b w:val="false"/>
          <w:sz w:val="24"/>
        </w:rPr>
      </w:r>
    </w:p>
    <w:p>
      <w:pPr>
        <w:pStyle w:val="BodyText"/>
        <w:rPr>
          <w:b w:val="false"/>
          <w:sz w:val="24"/>
        </w:rPr>
      </w:pPr>
      <w:r>
        <w:rPr>
          <w:b w:val="false"/>
          <w:sz w:val="24"/>
        </w:rPr>
        <w:t>Linden 1-5 Facilities</w:t>
        <w:tab/>
        <w:tab/>
        <w:tab/>
        <w:tab/>
        <w:t>678,000 kw</w:t>
      </w:r>
    </w:p>
    <w:p>
      <w:pPr>
        <w:pStyle w:val="BodyText"/>
        <w:rPr>
          <w:b w:val="false"/>
          <w:sz w:val="24"/>
        </w:rPr>
      </w:pPr>
      <w:r>
        <w:rPr>
          <w:b w:val="false"/>
          <w:sz w:val="24"/>
        </w:rPr>
      </w:r>
    </w:p>
    <w:p>
      <w:pPr>
        <w:pStyle w:val="BodyText"/>
        <w:rPr>
          <w:b w:val="false"/>
          <w:sz w:val="24"/>
        </w:rPr>
      </w:pPr>
      <w:r>
        <w:rPr>
          <w:b w:val="false"/>
          <w:sz w:val="24"/>
        </w:rPr>
        <w:t>Total Capacity</w:t>
        <w:tab/>
        <w:tab/>
        <w:tab/>
        <w:tab/>
        <w:t xml:space="preserve">         1,000,000 kw</w:t>
      </w:r>
    </w:p>
    <w:p>
      <w:pPr>
        <w:pStyle w:val="BodyText"/>
        <w:jc w:val="center"/>
        <w:rPr>
          <w:b w:val="false"/>
          <w:sz w:val="24"/>
          <w:u w:val="single"/>
        </w:rPr>
      </w:pPr>
      <w:r>
        <w:rPr>
          <w:b w:val="false"/>
          <w:sz w:val="24"/>
          <w:u w:val="single"/>
        </w:rPr>
      </w:r>
    </w:p>
    <w:sectPr>
      <w:headerReference w:type="default" r:id="rId2"/>
      <w:footerReference w:type="default" r:id="rId3"/>
      <w:type w:val="nextPage"/>
      <w:pgSz w:w="12240" w:h="15840"/>
      <w:pgMar w:left="1440" w:right="1440" w:gutter="0" w:header="36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r>
      <w:rPr>
        <w:rStyle w:val="PageNumber"/>
      </w:rPr>
      <w:t xml:space="preserve">                                                                </w:t>
    </w:r>
    <w:r>
      <w:rPr>
        <w:sz w:val="16"/>
      </w:rPr>
      <w:fldChar w:fldCharType="begin"/>
    </w:r>
    <w:r>
      <w:rPr>
        <w:sz w:val="16"/>
      </w:rPr>
      <w:instrText xml:space="preserve"> DATE \@"MM\/dd\/yyyy" </w:instrText>
    </w:r>
    <w:r>
      <w:rPr>
        <w:sz w:val="16"/>
      </w:rPr>
      <w:fldChar w:fldCharType="separate"/>
    </w:r>
    <w:r>
      <w:rPr>
        <w:sz w:val="16"/>
      </w:rPr>
      <w:t>09/28/2025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8:29 AM</w:t>
    </w:r>
    <w:r>
      <w:rPr>
        <w:sz w:val="16"/>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16"/>
      </w:rPr>
    </w:pPr>
    <w:r>
      <w:rPr>
        <w:b/>
        <w:sz w:val="16"/>
      </w:rPr>
      <w:t>EPME Confidential Draft</w:t>
    </w:r>
  </w:p>
  <w:p>
    <w:pPr>
      <w:pStyle w:val="Header"/>
      <w:jc w:val="end"/>
      <w:rPr/>
    </w:pPr>
    <w:r>
      <w:rPr>
        <w:b/>
        <w:sz w:val="16"/>
      </w:rPr>
      <w:t>For Discussion Purposes Only</w:t>
    </w:r>
    <w:r>
      <w:rPr>
        <w:b/>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lowerLetter"/>
      <w:lvlText w:val="(%1)"/>
      <w:lvlJc w:val="start"/>
      <w:pPr>
        <w:tabs>
          <w:tab w:val="num" w:pos="2160"/>
        </w:tabs>
        <w:ind w:start="2160" w:hanging="720"/>
      </w:pPr>
      <w:rPr/>
    </w:lvl>
  </w:abstractNum>
  <w:abstractNum w:abstractNumId="4">
    <w:lvl w:ilvl="0">
      <w:start w:val="2002"/>
      <w:numFmt w:val="decimal"/>
      <w:lvlText w:val="%1"/>
      <w:lvlJc w:val="start"/>
      <w:pPr>
        <w:tabs>
          <w:tab w:val="num" w:pos="4380"/>
        </w:tabs>
        <w:ind w:start="4380" w:hanging="43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jc w:val="both"/>
      <w:outlineLvl w:val="3"/>
    </w:pPr>
    <w:rPr>
      <w:b/>
      <w:sz w:val="22"/>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uto" w:line="360"/>
      <w:outlineLvl w:val="5"/>
    </w:pPr>
    <w:rPr>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BodyText3">
    <w:name w:val="Body Text 3"/>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2000-09-25T17:21:00Z</dcterms:created>
  <dc:creator>El Paso Energy Marketing</dc:creator>
  <dc:description/>
  <dc:language>en-CA</dc:language>
  <cp:lastModifiedBy>brad alford</cp:lastModifiedBy>
  <cp:lastPrinted>2000-09-25T14:48:00Z</cp:lastPrinted>
  <dcterms:modified xsi:type="dcterms:W3CDTF">2000-09-25T17:21:00Z</dcterms:modified>
  <cp:revision>2</cp:revision>
  <dc:subject/>
  <dc:title>Proposal for Restructuring Mount Carmel</dc:title>
</cp:coreProperties>
</file>