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ECOutlook.com Inc.  (“ECO”)</w:t>
      </w:r>
    </w:p>
    <w:p>
      <w:pPr>
        <w:pStyle w:val="Normal"/>
        <w:jc w:val="center"/>
        <w:rPr/>
      </w:pPr>
      <w:r>
        <w:rPr/>
        <w:t>&amp; Enron Corp. (“Enron”)</w:t>
      </w:r>
    </w:p>
    <w:p>
      <w:pPr>
        <w:pStyle w:val="Normal"/>
        <w:jc w:val="center"/>
        <w:rPr/>
      </w:pPr>
      <w:r>
        <w:rPr/>
        <w:t>Intellectual Property Transfer</w:t>
      </w:r>
    </w:p>
    <w:p>
      <w:pPr>
        <w:pStyle w:val="Normal"/>
        <w:jc w:val="center"/>
        <w:rPr/>
      </w:pPr>
      <w:r>
        <w:rPr/>
        <w:t>&amp; B2B Communication Services</w:t>
      </w:r>
    </w:p>
    <w:p>
      <w:pPr>
        <w:pStyle w:val="Normal"/>
        <w:jc w:val="center"/>
        <w:rPr/>
      </w:pPr>
      <w:r>
        <w:rPr/>
        <w:t>Deal Summaries</w:t>
      </w:r>
    </w:p>
    <w:p>
      <w:pPr>
        <w:pStyle w:val="Normal"/>
        <w:jc w:val="center"/>
        <w:rPr/>
      </w:pPr>
      <w:r>
        <w:rPr/>
      </w:r>
    </w:p>
    <w:tbl>
      <w:tblPr>
        <w:tblW w:w="9648" w:type="dxa"/>
        <w:jc w:val="start"/>
        <w:tblInd w:w="0" w:type="dxa"/>
        <w:tblLayout w:type="fixed"/>
        <w:tblCellMar>
          <w:top w:w="0" w:type="dxa"/>
          <w:start w:w="108" w:type="dxa"/>
          <w:bottom w:w="0" w:type="dxa"/>
          <w:end w:w="108" w:type="dxa"/>
        </w:tblCellMar>
      </w:tblPr>
      <w:tblGrid>
        <w:gridCol w:w="3708"/>
        <w:gridCol w:w="5940"/>
      </w:tblGrid>
      <w:tr>
        <w:trPr/>
        <w:tc>
          <w:tcPr>
            <w:tcW w:w="9648" w:type="dxa"/>
            <w:gridSpan w:val="2"/>
            <w:tcBorders/>
          </w:tcPr>
          <w:p>
            <w:pPr>
              <w:pStyle w:val="Heading4"/>
              <w:ind w:hanging="0" w:start="0"/>
              <w:rPr/>
            </w:pPr>
            <w:r>
              <w:rPr/>
              <w:t>ENRON IP TRANSFER AGREEMENT</w:t>
            </w:r>
          </w:p>
        </w:tc>
      </w:tr>
      <w:tr>
        <w:trPr/>
        <w:tc>
          <w:tcPr>
            <w:tcW w:w="3708" w:type="dxa"/>
            <w:tcBorders/>
          </w:tcPr>
          <w:p>
            <w:pPr>
              <w:pStyle w:val="Heading2"/>
              <w:tabs>
                <w:tab w:val="left" w:pos="720" w:leader="none"/>
              </w:tabs>
              <w:snapToGrid w:val="false"/>
              <w:rPr/>
            </w:pPr>
            <w:r>
              <w:rPr/>
            </w:r>
          </w:p>
        </w:tc>
        <w:tc>
          <w:tcPr>
            <w:tcW w:w="5940" w:type="dxa"/>
            <w:tcBorders/>
          </w:tcPr>
          <w:p>
            <w:pPr>
              <w:pStyle w:val="Normal"/>
              <w:snapToGrid w:val="false"/>
              <w:rPr/>
            </w:pPr>
            <w:r>
              <w:rPr/>
            </w:r>
          </w:p>
        </w:tc>
      </w:tr>
      <w:tr>
        <w:trPr/>
        <w:tc>
          <w:tcPr>
            <w:tcW w:w="3708" w:type="dxa"/>
            <w:tcBorders/>
          </w:tcPr>
          <w:p>
            <w:pPr>
              <w:pStyle w:val="Heading2"/>
              <w:tabs>
                <w:tab w:val="left" w:pos="720" w:leader="none"/>
              </w:tabs>
              <w:rPr/>
            </w:pPr>
            <w:r>
              <w:rPr/>
              <w:t>Enron Intellectual Property</w:t>
            </w:r>
          </w:p>
          <w:p>
            <w:pPr>
              <w:pStyle w:val="Normal"/>
              <w:tabs>
                <w:tab w:val="left" w:pos="720" w:leader="none"/>
              </w:tabs>
              <w:rPr/>
            </w:pPr>
            <w:r>
              <w:rPr/>
            </w:r>
          </w:p>
        </w:tc>
        <w:tc>
          <w:tcPr>
            <w:tcW w:w="5940" w:type="dxa"/>
            <w:tcBorders/>
          </w:tcPr>
          <w:p>
            <w:pPr>
              <w:pStyle w:val="Normal"/>
              <w:rPr/>
            </w:pPr>
            <w:r>
              <w:rPr/>
              <w:t xml:space="preserve">Enron agrees to fully transfer ownership of the IP resulting from Enron’s development with ECPower of data maps, mapping structures and integration tools for electronically enabling the Natural Gas and Electric Power trading processes (the “Enron IP”) to ECO.  </w:t>
            </w:r>
          </w:p>
        </w:tc>
      </w:tr>
      <w:tr>
        <w:trPr/>
        <w:tc>
          <w:tcPr>
            <w:tcW w:w="3708" w:type="dxa"/>
            <w:tcBorders/>
          </w:tcPr>
          <w:p>
            <w:pPr>
              <w:pStyle w:val="Normal"/>
              <w:tabs>
                <w:tab w:val="left" w:pos="720" w:leader="none"/>
              </w:tabs>
              <w:snapToGrid w:val="false"/>
              <w:ind w:hanging="360" w:start="360" w:end="0"/>
              <w:rPr/>
            </w:pPr>
            <w:r>
              <w:rPr/>
            </w:r>
          </w:p>
        </w:tc>
        <w:tc>
          <w:tcPr>
            <w:tcW w:w="5940" w:type="dxa"/>
            <w:tcBorders/>
          </w:tcPr>
          <w:p>
            <w:pPr>
              <w:pStyle w:val="Normal"/>
              <w:snapToGrid w:val="false"/>
              <w:rPr/>
            </w:pPr>
            <w:r>
              <w:rPr/>
            </w:r>
          </w:p>
        </w:tc>
      </w:tr>
      <w:tr>
        <w:trPr/>
        <w:tc>
          <w:tcPr>
            <w:tcW w:w="3708" w:type="dxa"/>
            <w:tcBorders/>
          </w:tcPr>
          <w:p>
            <w:pPr>
              <w:pStyle w:val="Heading2"/>
              <w:tabs>
                <w:tab w:val="left" w:pos="720" w:leader="none"/>
              </w:tabs>
              <w:rPr/>
            </w:pPr>
            <w:r>
              <w:rPr/>
              <w:t>Compensation for Enron IP</w:t>
            </w:r>
          </w:p>
        </w:tc>
        <w:tc>
          <w:tcPr>
            <w:tcW w:w="5940" w:type="dxa"/>
            <w:tcBorders/>
          </w:tcPr>
          <w:p>
            <w:pPr>
              <w:pStyle w:val="Normal"/>
              <w:tabs>
                <w:tab w:val="clear" w:pos="720"/>
                <w:tab w:val="left" w:pos="4815" w:leader="none"/>
              </w:tabs>
              <w:snapToGrid w:val="false"/>
              <w:rPr/>
            </w:pPr>
            <w:r>
              <w:rPr/>
            </w:r>
          </w:p>
        </w:tc>
      </w:tr>
      <w:tr>
        <w:trPr/>
        <w:tc>
          <w:tcPr>
            <w:tcW w:w="3708" w:type="dxa"/>
            <w:tcBorders/>
          </w:tcPr>
          <w:p>
            <w:pPr>
              <w:pStyle w:val="Normal"/>
              <w:tabs>
                <w:tab w:val="left" w:pos="720" w:leader="none"/>
              </w:tabs>
              <w:ind w:hanging="360" w:start="360" w:end="0"/>
              <w:rPr/>
            </w:pPr>
            <w:r>
              <w:rPr/>
              <w:tab/>
              <w:t>Cash Payment</w:t>
            </w:r>
          </w:p>
        </w:tc>
        <w:tc>
          <w:tcPr>
            <w:tcW w:w="5940" w:type="dxa"/>
            <w:tcBorders/>
          </w:tcPr>
          <w:p>
            <w:pPr>
              <w:pStyle w:val="Header"/>
              <w:tabs>
                <w:tab w:val="clear" w:pos="4320"/>
                <w:tab w:val="clear" w:pos="8640"/>
              </w:tabs>
              <w:rPr/>
            </w:pPr>
            <w:r>
              <w:rPr/>
              <w:t>ECO will pay Enron $3,000,000 in cash as partial compensation for the transfer of the Enron IP.  The terms of the ECO Cash Payment will be $3,000,000 payable upon the execution date of the Enron IP Transfer Agreement.  This $3,000,000 will be offset by the amount of the prepayment as defined under the ECO Operating agreement.</w:t>
            </w:r>
          </w:p>
        </w:tc>
      </w:tr>
      <w:tr>
        <w:trPr/>
        <w:tc>
          <w:tcPr>
            <w:tcW w:w="3708" w:type="dxa"/>
            <w:tcBorders/>
          </w:tcPr>
          <w:p>
            <w:pPr>
              <w:pStyle w:val="Normal"/>
              <w:tabs>
                <w:tab w:val="left" w:pos="720" w:leader="none"/>
              </w:tabs>
              <w:snapToGrid w:val="false"/>
              <w:ind w:hanging="360" w:start="360" w:end="0"/>
              <w:rPr/>
            </w:pPr>
            <w:r>
              <w:rPr/>
            </w:r>
          </w:p>
        </w:tc>
        <w:tc>
          <w:tcPr>
            <w:tcW w:w="5940" w:type="dxa"/>
            <w:tcBorders/>
          </w:tcPr>
          <w:p>
            <w:pPr>
              <w:pStyle w:val="Normal"/>
              <w:snapToGrid w:val="false"/>
              <w:rPr/>
            </w:pPr>
            <w:r>
              <w:rPr/>
            </w:r>
          </w:p>
        </w:tc>
      </w:tr>
      <w:tr>
        <w:trPr/>
        <w:tc>
          <w:tcPr>
            <w:tcW w:w="3708" w:type="dxa"/>
            <w:tcBorders/>
          </w:tcPr>
          <w:p>
            <w:pPr>
              <w:pStyle w:val="Normal"/>
              <w:tabs>
                <w:tab w:val="left" w:pos="720" w:leader="none"/>
              </w:tabs>
              <w:ind w:hanging="360" w:start="360" w:end="0"/>
              <w:rPr/>
            </w:pPr>
            <w:r>
              <w:rPr/>
              <w:tab/>
              <w:t>Warrant</w:t>
            </w:r>
          </w:p>
        </w:tc>
        <w:tc>
          <w:tcPr>
            <w:tcW w:w="5940" w:type="dxa"/>
            <w:tcBorders/>
          </w:tcPr>
          <w:p>
            <w:pPr>
              <w:pStyle w:val="Header"/>
              <w:tabs>
                <w:tab w:val="clear" w:pos="4320"/>
                <w:tab w:val="clear" w:pos="8640"/>
              </w:tabs>
              <w:rPr/>
            </w:pPr>
            <w:r>
              <w:rPr/>
              <w:t>ECO will issue Enron a warrant exercisable for 500,000 shares of ECO Common Stock at an exercise price of $2.50 per share (the “Warrant”).   Enron will have until the earlier of 3.5 years following the execution date of the Enron IP Transfer Agreement or the consummation of a Qualified IPO or like liquidity event to exercise the Warrant.  The $2.50 per share price must be independently verified.</w:t>
            </w:r>
          </w:p>
        </w:tc>
      </w:tr>
      <w:tr>
        <w:trPr/>
        <w:tc>
          <w:tcPr>
            <w:tcW w:w="3708" w:type="dxa"/>
            <w:tcBorders/>
          </w:tcPr>
          <w:p>
            <w:pPr>
              <w:pStyle w:val="Normal"/>
              <w:snapToGrid w:val="false"/>
              <w:ind w:hanging="360" w:start="360" w:end="0"/>
              <w:rPr>
                <w:b/>
                <w:bCs/>
              </w:rPr>
            </w:pPr>
            <w:r>
              <w:rPr>
                <w:b/>
                <w:bCs/>
              </w:rPr>
            </w:r>
          </w:p>
        </w:tc>
        <w:tc>
          <w:tcPr>
            <w:tcW w:w="5940" w:type="dxa"/>
            <w:tcBorders/>
          </w:tcPr>
          <w:p>
            <w:pPr>
              <w:pStyle w:val="Normal"/>
              <w:snapToGrid w:val="false"/>
              <w:rPr>
                <w:b/>
                <w:bCs/>
              </w:rPr>
            </w:pPr>
            <w:r>
              <w:rPr>
                <w:b/>
                <w:bCs/>
              </w:rPr>
            </w:r>
          </w:p>
        </w:tc>
      </w:tr>
    </w:tbl>
    <w:p>
      <w:pPr>
        <w:pStyle w:val="Normal"/>
        <w:rPr/>
      </w:pPr>
      <w:r>
        <w:rPr/>
      </w:r>
    </w:p>
    <w:p>
      <w:pPr>
        <w:pStyle w:val="Normal"/>
        <w:rPr>
          <w:b/>
          <w:bCs/>
        </w:rPr>
      </w:pPr>
      <w:r>
        <w:rPr>
          <w:b/>
          <w:bCs/>
        </w:rPr>
      </w:r>
    </w:p>
    <w:p>
      <w:pPr>
        <w:pStyle w:val="Normal"/>
        <w:rPr/>
      </w:pPr>
      <w:r>
        <w:rPr>
          <w:b/>
          <w:bCs/>
        </w:rPr>
        <w:t>ECO Technology License</w:t>
        <w:tab/>
        <w:tab/>
        <w:t xml:space="preserve">  </w:t>
      </w:r>
      <w:r>
        <w:rPr/>
        <w:t xml:space="preserve">Enron will pay ECO $100,000 in cash as payment </w:t>
      </w:r>
    </w:p>
    <w:p>
      <w:pPr>
        <w:pStyle w:val="Normal"/>
        <w:rPr/>
      </w:pPr>
      <w:r>
        <w:rPr/>
        <w:tab/>
        <w:tab/>
        <w:tab/>
        <w:tab/>
        <w:tab/>
        <w:t xml:space="preserve">  for the license of ECO technology</w:t>
      </w:r>
      <w:r>
        <w:br w:type="page"/>
      </w:r>
    </w:p>
    <w:p>
      <w:pPr>
        <w:pStyle w:val="Normal"/>
        <w:rPr/>
      </w:pPr>
      <w:r>
        <w:rPr/>
      </w:r>
    </w:p>
    <w:tbl>
      <w:tblPr>
        <w:tblW w:w="9648" w:type="dxa"/>
        <w:jc w:val="start"/>
        <w:tblInd w:w="0" w:type="dxa"/>
        <w:tblLayout w:type="fixed"/>
        <w:tblCellMar>
          <w:top w:w="0" w:type="dxa"/>
          <w:start w:w="108" w:type="dxa"/>
          <w:bottom w:w="0" w:type="dxa"/>
          <w:end w:w="108" w:type="dxa"/>
        </w:tblCellMar>
      </w:tblPr>
      <w:tblGrid>
        <w:gridCol w:w="3708"/>
        <w:gridCol w:w="5940"/>
      </w:tblGrid>
      <w:tr>
        <w:trPr/>
        <w:tc>
          <w:tcPr>
            <w:tcW w:w="3708" w:type="dxa"/>
            <w:tcBorders/>
          </w:tcPr>
          <w:p>
            <w:pPr>
              <w:pStyle w:val="Normal"/>
              <w:ind w:hanging="360" w:start="360" w:end="0"/>
              <w:rPr>
                <w:b/>
                <w:bCs/>
              </w:rPr>
            </w:pPr>
            <w:r>
              <w:rPr>
                <w:b/>
                <w:bCs/>
              </w:rPr>
              <w:t>ECO Operating Agreement</w:t>
            </w:r>
          </w:p>
        </w:tc>
        <w:tc>
          <w:tcPr>
            <w:tcW w:w="5940" w:type="dxa"/>
            <w:tcBorders/>
          </w:tcPr>
          <w:p>
            <w:pPr>
              <w:pStyle w:val="Normal"/>
              <w:rPr/>
            </w:pPr>
            <w:r>
              <w:rPr/>
              <w:t>Enron will enter into a five-year operating agreement with ECO to operate and manage the Enron Solution or EDI Hub.  Enron will prepay the first 12 months of service at an undiscounted amount of $1,175,000.  Enron will also prepay the first eight months of the second year discounted at 15% or an amount of $679,000.   The remaining four months will be paid monthly at a rate of $104,167.  Years three through five will be paid monthly using the following annual amounts:</w:t>
            </w:r>
          </w:p>
          <w:p>
            <w:pPr>
              <w:pStyle w:val="Normal"/>
              <w:rPr/>
            </w:pPr>
            <w:r>
              <w:rPr/>
            </w:r>
          </w:p>
          <w:p>
            <w:pPr>
              <w:pStyle w:val="Heading3"/>
              <w:ind w:hanging="0" w:start="0"/>
              <w:rPr/>
            </w:pPr>
            <w:r>
              <w:rPr/>
              <w:t>Period                                            Amount/yr</w:t>
            </w:r>
          </w:p>
          <w:p>
            <w:pPr>
              <w:pStyle w:val="Normal"/>
              <w:rPr/>
            </w:pPr>
            <w:r>
              <w:rPr/>
              <w:t>Year 3                                             $1,350,000</w:t>
            </w:r>
          </w:p>
          <w:p>
            <w:pPr>
              <w:pStyle w:val="Normal"/>
              <w:rPr/>
            </w:pPr>
            <w:r>
              <w:rPr/>
              <w:t>Year 4                                             $1,458,000</w:t>
            </w:r>
          </w:p>
          <w:p>
            <w:pPr>
              <w:pStyle w:val="Normal"/>
              <w:rPr/>
            </w:pPr>
            <w:r>
              <w:rPr/>
              <w:t>Year 5                                             $1,575,000</w:t>
            </w:r>
          </w:p>
          <w:p>
            <w:pPr>
              <w:pStyle w:val="Normal"/>
              <w:rPr/>
            </w:pPr>
            <w:r>
              <w:rPr/>
            </w:r>
          </w:p>
          <w:p>
            <w:pPr>
              <w:pStyle w:val="Normal"/>
              <w:rPr/>
            </w:pPr>
            <w:r>
              <w:rPr/>
              <w:t>Enron will have the option to continue the O&amp;M agreement after five years at an escalated rate not to exceed double of the CPI.  The first 12 months of service will begin when ECO has successfully transferred the IP and has taken over the operation of the EDI hub from ECPower.  Also as a part of the operating agreement, ECO would hire two resources from ECPower to mitigate the risk of moving off of the ECPower operated EDI hub.</w:t>
            </w:r>
          </w:p>
        </w:tc>
      </w:tr>
      <w:tr>
        <w:trPr/>
        <w:tc>
          <w:tcPr>
            <w:tcW w:w="3708" w:type="dxa"/>
            <w:tcBorders/>
          </w:tcPr>
          <w:p>
            <w:pPr>
              <w:pStyle w:val="Normal"/>
              <w:snapToGrid w:val="false"/>
              <w:ind w:hanging="360" w:start="360" w:end="0"/>
              <w:rPr>
                <w:b/>
                <w:bCs/>
              </w:rPr>
            </w:pPr>
            <w:r>
              <w:rPr>
                <w:b/>
                <w:bCs/>
              </w:rPr>
            </w:r>
          </w:p>
        </w:tc>
        <w:tc>
          <w:tcPr>
            <w:tcW w:w="5940" w:type="dxa"/>
            <w:tcBorders/>
          </w:tcPr>
          <w:p>
            <w:pPr>
              <w:pStyle w:val="Normal"/>
              <w:snapToGrid w:val="false"/>
              <w:rPr>
                <w:b/>
                <w:bCs/>
              </w:rPr>
            </w:pPr>
            <w:r>
              <w:rPr>
                <w:b/>
                <w:bCs/>
              </w:rPr>
            </w:r>
          </w:p>
          <w:p>
            <w:pPr>
              <w:pStyle w:val="Normal"/>
              <w:rPr/>
            </w:pPr>
            <w:r>
              <w:rPr/>
            </w:r>
          </w:p>
        </w:tc>
      </w:tr>
    </w:tbl>
    <w:p>
      <w:pPr>
        <w:pStyle w:val="Heading1"/>
        <w:ind w:hanging="0" w:start="0"/>
        <w:rPr/>
      </w:pPr>
      <w:r>
        <w:rPr/>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360" w:start="360" w:end="0"/>
      <w:outlineLvl w:val="1"/>
    </w:pPr>
    <w:rPr>
      <w:b/>
      <w:bCs/>
    </w:rPr>
  </w:style>
  <w:style w:type="paragraph" w:styleId="Heading3">
    <w:name w:val="heading 3"/>
    <w:basedOn w:val="Normal"/>
    <w:next w:val="Normal"/>
    <w:qFormat/>
    <w:pPr>
      <w:keepNext w:val="true"/>
      <w:numPr>
        <w:ilvl w:val="2"/>
        <w:numId w:val="1"/>
      </w:numPr>
      <w:outlineLvl w:val="2"/>
    </w:pPr>
    <w:rPr>
      <w:b/>
      <w:bCs/>
      <w:u w:val="single"/>
    </w:rPr>
  </w:style>
  <w:style w:type="paragraph" w:styleId="Heading4">
    <w:name w:val="heading 4"/>
    <w:basedOn w:val="Normal"/>
    <w:next w:val="Normal"/>
    <w:qFormat/>
    <w:pPr>
      <w:keepNext w:val="true"/>
      <w:numPr>
        <w:ilvl w:val="3"/>
        <w:numId w:val="1"/>
      </w:numPr>
      <w:jc w:val="both"/>
      <w:outlineLvl w:val="3"/>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2001-01-05T14:40:00Z</dcterms:created>
  <dc:creator>tyanows</dc:creator>
  <dc:description/>
  <dc:language>en-CA</dc:language>
  <cp:lastModifiedBy>tyanows</cp:lastModifiedBy>
  <cp:lastPrinted>2001-01-05T08:48:00Z</cp:lastPrinted>
  <dcterms:modified xsi:type="dcterms:W3CDTF">2001-01-05T14:40:00Z</dcterms:modified>
  <cp:revision>2</cp:revision>
  <dc:subject/>
  <dc:title>ECOutlook</dc:title>
</cp:coreProperties>
</file>