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footer8.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EC OUTLOOK EDI OPERATING AGREEMENT</w:t>
      </w:r>
    </w:p>
    <w:p>
      <w:pPr>
        <w:pStyle w:val="BodyText"/>
        <w:spacing w:before="0" w:after="240"/>
        <w:ind w:firstLine="360" w:end="0"/>
        <w:rPr/>
      </w:pPr>
      <w:r>
        <w:rPr>
          <w:sz w:val="22"/>
        </w:rPr>
        <w:tab/>
        <w:t>THIS EC OUTLOOK EDI OPERATING AGREEMENT (this “</w:t>
      </w:r>
      <w:r>
        <w:rPr>
          <w:b/>
          <w:i/>
          <w:sz w:val="22"/>
        </w:rPr>
        <w:t>Agreement</w:t>
      </w:r>
      <w:r>
        <w:rPr>
          <w:sz w:val="22"/>
        </w:rPr>
        <w:t>”) dated as of __________, 2001 (the “</w:t>
      </w:r>
      <w:r>
        <w:rPr>
          <w:b/>
          <w:i/>
          <w:sz w:val="22"/>
        </w:rPr>
        <w:t>Effective Date</w:t>
      </w:r>
      <w:r>
        <w:rPr>
          <w:sz w:val="22"/>
        </w:rPr>
        <w:t>”) is by and between ECOutlook.com, a Delaware corporation (“</w:t>
      </w:r>
      <w:r>
        <w:rPr>
          <w:b/>
          <w:i/>
          <w:sz w:val="22"/>
        </w:rPr>
        <w:t>EC Outlook</w:t>
      </w:r>
      <w:r>
        <w:rPr>
          <w:sz w:val="22"/>
        </w:rPr>
        <w:t>”), and Enron Corp. (“</w:t>
      </w:r>
      <w:r>
        <w:rPr>
          <w:b/>
          <w:i/>
          <w:sz w:val="22"/>
        </w:rPr>
        <w:t>Customer</w:t>
      </w:r>
      <w:r>
        <w:rPr>
          <w:sz w:val="22"/>
        </w:rPr>
        <w:t xml:space="preserve">”), an Oregon corporation.  </w:t>
      </w:r>
    </w:p>
    <w:p>
      <w:pPr>
        <w:pStyle w:val="BodyText"/>
        <w:spacing w:before="0" w:after="240"/>
        <w:rPr/>
      </w:pPr>
      <w:r>
        <w:rPr>
          <w:smallCaps/>
          <w:sz w:val="22"/>
        </w:rPr>
        <w:t>Whereas</w:t>
      </w:r>
      <w:r>
        <w:rPr>
          <w:sz w:val="22"/>
        </w:rPr>
        <w:t>, EC Outlook owns certain technology useful in electronic data interchange after purchasing the same from Customer;  and</w:t>
      </w:r>
    </w:p>
    <w:p>
      <w:pPr>
        <w:pStyle w:val="BodyText"/>
        <w:spacing w:before="0" w:after="240"/>
        <w:rPr/>
      </w:pPr>
      <w:r>
        <w:rPr>
          <w:smallCaps/>
          <w:sz w:val="22"/>
        </w:rPr>
        <w:t xml:space="preserve">Whereas, </w:t>
      </w:r>
      <w:r>
        <w:rPr>
          <w:sz w:val="22"/>
        </w:rPr>
        <w:t>Customer wishes for EC Outlook to provide services to support this electronic data interchange technology;</w:t>
      </w:r>
    </w:p>
    <w:p>
      <w:pPr>
        <w:pStyle w:val="BodyText"/>
        <w:spacing w:before="0" w:after="240"/>
        <w:rPr/>
      </w:pPr>
      <w:r>
        <w:rPr>
          <w:smallCaps/>
          <w:sz w:val="22"/>
        </w:rPr>
        <w:t>Now, therefore</w:t>
      </w:r>
      <w:r>
        <w:rPr>
          <w:sz w:val="22"/>
        </w:rPr>
        <w:t>, in furtherance of the foregoing and in consideration of the mutual covenants contained herein, and for other good and valuable consideration, the receipt and sufficiency of which are hereby acknowledged, EC Outlook and Customer hereby agree as follows:</w:t>
      </w:r>
    </w:p>
    <w:p>
      <w:pPr>
        <w:pStyle w:val="Heading1"/>
        <w:numPr>
          <w:ilvl w:val="0"/>
          <w:numId w:val="11"/>
        </w:numPr>
        <w:tabs>
          <w:tab w:val="clear" w:pos="1440"/>
          <w:tab w:val="left" w:pos="72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DEFINITIONS.</w:t>
      </w:r>
    </w:p>
    <w:p>
      <w:pPr>
        <w:pStyle w:val="BodyText"/>
        <w:spacing w:before="0" w:after="240"/>
        <w:rPr>
          <w:sz w:val="22"/>
        </w:rPr>
      </w:pPr>
      <w:r>
        <w:rPr>
          <w:sz w:val="22"/>
        </w:rPr>
        <w:t>When used herein with initial capital letters, the following terms shall have the following meanings:</w:t>
      </w:r>
    </w:p>
    <w:p>
      <w:pPr>
        <w:pStyle w:val="BodyText"/>
        <w:spacing w:before="0" w:after="240"/>
        <w:rPr/>
      </w:pPr>
      <w:r>
        <w:rPr>
          <w:sz w:val="22"/>
        </w:rPr>
        <w:t>“</w:t>
      </w:r>
      <w:r>
        <w:rPr>
          <w:b/>
          <w:i/>
          <w:sz w:val="22"/>
        </w:rPr>
        <w:t>Additional Work Product</w:t>
      </w:r>
      <w:r>
        <w:rPr>
          <w:sz w:val="22"/>
        </w:rPr>
        <w:t xml:space="preserve">” means any work of authorship not fitting the definition of Documentation, related to EC Outlook’s performance of the Services, protectable under at least U.S. copyright law, and prepared by an EC Outlook employee, agent or contractor. </w:t>
      </w:r>
    </w:p>
    <w:p>
      <w:pPr>
        <w:pStyle w:val="BodyText"/>
        <w:spacing w:before="0" w:after="240"/>
        <w:rPr/>
      </w:pPr>
      <w:r>
        <w:rPr>
          <w:sz w:val="22"/>
        </w:rPr>
        <w:t>“</w:t>
      </w:r>
      <w:r>
        <w:rPr>
          <w:b/>
          <w:i/>
          <w:sz w:val="22"/>
        </w:rPr>
        <w:t>Confidential Information</w:t>
      </w:r>
      <w:r>
        <w:rPr>
          <w:sz w:val="22"/>
        </w:rPr>
        <w:t>” shall mean any and all trade secrets, proprietary or confidential information that are owned by a party and/or reasonably considered under the circumstances to be confidential, that a party has disclosed to the other party prior to the Effective Date, or that a party may disclose to the other party on or after the Effective Date.  Confidential Information includes, without limitation, the object and source code to the EDI Technology, as defined below.  Notwithstanding the foregoing, the following will not constitute Confidential Information for purposes of this Agreement: (a) information which was already in the receiving party’s possession as a matter of record prior to the Effective Date and not disclosed to the receiving party by the other party to this Agreement; (b) information that is independently developed by the receiving party as a matter of record; (c) information that is obtained from a third party who, insofar as is known to the receiving party, is not prohibited from transmitting the information to the receiving party by a contractual, legal or fiduciary obligation to the disclosing party; or (d) information which is or which becomes generally available to the public other than as a result of disclosure by the receiving party.  Notwithstanding any of the foregoing, the parties agree that EC Outlook’s Confidential Information shall be construed to include, but not be limited to, the EDI Technology.</w:t>
      </w:r>
    </w:p>
    <w:p>
      <w:pPr>
        <w:pStyle w:val="BodyText"/>
        <w:spacing w:before="0" w:after="240"/>
        <w:rPr/>
      </w:pPr>
      <w:r>
        <w:rPr>
          <w:sz w:val="22"/>
        </w:rPr>
        <w:t>“</w:t>
      </w:r>
      <w:r>
        <w:rPr>
          <w:b/>
          <w:i/>
          <w:sz w:val="22"/>
        </w:rPr>
        <w:t>Customer Content</w:t>
      </w:r>
      <w:r>
        <w:rPr>
          <w:sz w:val="22"/>
        </w:rPr>
        <w:t>” shall mean all text, pictures, graphics and other data transferred between Customer and its Trading Partners.</w:t>
      </w:r>
    </w:p>
    <w:p>
      <w:pPr>
        <w:pStyle w:val="BodyText"/>
        <w:spacing w:before="0" w:after="240"/>
        <w:rPr/>
      </w:pPr>
      <w:r>
        <w:rPr>
          <w:sz w:val="22"/>
        </w:rPr>
        <w:t>“</w:t>
      </w:r>
      <w:r>
        <w:rPr>
          <w:b/>
          <w:i/>
          <w:sz w:val="22"/>
        </w:rPr>
        <w:t>Derivative Work</w:t>
      </w:r>
      <w:r>
        <w:rPr>
          <w:sz w:val="22"/>
        </w:rPr>
        <w:t>” has the meaning as defined in the Copyright Act, 17 U.S.C. § 101 (2000), as construed by competent courts.</w:t>
      </w:r>
    </w:p>
    <w:p>
      <w:pPr>
        <w:pStyle w:val="BodyText"/>
        <w:spacing w:before="0" w:after="240"/>
        <w:rPr/>
      </w:pPr>
      <w:r>
        <w:rPr>
          <w:sz w:val="22"/>
        </w:rPr>
        <w:t>“</w:t>
      </w:r>
      <w:r>
        <w:rPr>
          <w:b/>
          <w:i/>
          <w:sz w:val="22"/>
        </w:rPr>
        <w:t>Documentation</w:t>
      </w:r>
      <w:r>
        <w:rPr>
          <w:sz w:val="22"/>
        </w:rPr>
        <w:t>” means the documentation defined and described in the concurrently-executed agreement between the parties entitled “EC Outlook EDI License Agreement.”</w:t>
      </w:r>
    </w:p>
    <w:p>
      <w:pPr>
        <w:pStyle w:val="BodyText"/>
        <w:spacing w:before="0" w:after="240"/>
        <w:rPr/>
      </w:pPr>
      <w:r>
        <w:rPr>
          <w:sz w:val="22"/>
        </w:rPr>
        <w:t>“</w:t>
      </w:r>
      <w:r>
        <w:rPr>
          <w:b/>
          <w:i/>
          <w:sz w:val="22"/>
        </w:rPr>
        <w:t>EDI Technology</w:t>
      </w:r>
      <w:r>
        <w:rPr>
          <w:sz w:val="22"/>
        </w:rPr>
        <w:t>” means the Software, Documentation, and Additional Work Product, taken together.</w:t>
      </w:r>
    </w:p>
    <w:p>
      <w:pPr>
        <w:pStyle w:val="BodyText"/>
        <w:spacing w:before="0" w:after="240"/>
        <w:rPr/>
      </w:pPr>
      <w:r>
        <w:rPr>
          <w:sz w:val="22"/>
        </w:rPr>
        <w:t>“</w:t>
      </w:r>
      <w:r>
        <w:rPr>
          <w:b/>
          <w:i/>
          <w:sz w:val="22"/>
        </w:rPr>
        <w:t>Intellectual Property Rights</w:t>
      </w:r>
      <w:r>
        <w:rPr>
          <w:sz w:val="22"/>
        </w:rPr>
        <w:t>” means all intellectual property rights protected by law throughout the world, including all copyright rights, copyright registrations and applications, trademark rights (including trade dress and trade name), trademark registrations and applications, patent rights (including the right to apply therefore), patent applications (including the right to claim priority under applicable international conventions) and all patents issuing thereon, and inventions, whether or not patentable, trade secret rights, mask-work rights, all utility and design rights, rights in specifications, moral rights, author's rights, rights in algorithms, rights in packaging, rights in goodwill, and other intellectual property rights, as may exist now and hereafter come into existence, and all renewals and extensions thereof, regardless of whether any of such rights arise under the laws of the United States or of any other state, country or jurisdiction.</w:t>
      </w:r>
    </w:p>
    <w:p>
      <w:pPr>
        <w:pStyle w:val="BodyText"/>
        <w:spacing w:before="0" w:after="240"/>
        <w:rPr/>
      </w:pPr>
      <w:r>
        <w:rPr>
          <w:sz w:val="22"/>
        </w:rPr>
        <w:t xml:space="preserve"> “</w:t>
      </w:r>
      <w:r>
        <w:rPr>
          <w:b/>
          <w:i/>
          <w:sz w:val="22"/>
        </w:rPr>
        <w:t>Software</w:t>
      </w:r>
      <w:r>
        <w:rPr>
          <w:sz w:val="22"/>
        </w:rPr>
        <w:t>” means the software defined and described in the concurrently-executed agreement between the parties entitled “EC Outlook EDI License Agreement.”</w:t>
      </w:r>
    </w:p>
    <w:p>
      <w:pPr>
        <w:pStyle w:val="BodyText"/>
        <w:spacing w:before="0" w:after="240"/>
        <w:rPr/>
      </w:pPr>
      <w:r>
        <w:rPr>
          <w:sz w:val="22"/>
        </w:rPr>
        <w:t>“</w:t>
      </w:r>
      <w:r>
        <w:rPr>
          <w:b/>
          <w:i/>
          <w:sz w:val="22"/>
        </w:rPr>
        <w:t>Service Date</w:t>
      </w:r>
      <w:r>
        <w:rPr>
          <w:sz w:val="22"/>
        </w:rPr>
        <w:t>” means the first day of the first month that EC Outlook begins providing Services under this Agreement.</w:t>
      </w:r>
    </w:p>
    <w:p>
      <w:pPr>
        <w:pStyle w:val="BodyText"/>
        <w:spacing w:before="0" w:after="240"/>
        <w:rPr/>
      </w:pPr>
      <w:r>
        <w:rPr>
          <w:sz w:val="22"/>
        </w:rPr>
        <w:t>“</w:t>
      </w:r>
      <w:r>
        <w:rPr>
          <w:b/>
          <w:i/>
          <w:sz w:val="22"/>
        </w:rPr>
        <w:t>Service Period</w:t>
      </w:r>
      <w:r>
        <w:rPr>
          <w:sz w:val="22"/>
        </w:rPr>
        <w:t>” means the time from the Actual Service Date (defined herein) to the termination date of this Agreement.</w:t>
      </w:r>
    </w:p>
    <w:p>
      <w:pPr>
        <w:pStyle w:val="BodyText"/>
        <w:spacing w:before="0" w:after="240"/>
        <w:rPr/>
      </w:pPr>
      <w:r>
        <w:rPr>
          <w:sz w:val="22"/>
        </w:rPr>
        <w:t>“</w:t>
      </w:r>
      <w:r>
        <w:rPr>
          <w:b/>
          <w:i/>
          <w:sz w:val="22"/>
        </w:rPr>
        <w:t>Services</w:t>
      </w:r>
      <w:r>
        <w:rPr>
          <w:sz w:val="22"/>
        </w:rPr>
        <w:t xml:space="preserve">” shall mean those services described in the attached </w:t>
      </w:r>
      <w:r>
        <w:rPr>
          <w:sz w:val="22"/>
          <w:u w:val="single"/>
        </w:rPr>
        <w:t>Schedule B</w:t>
      </w:r>
      <w:r>
        <w:rPr>
          <w:sz w:val="22"/>
        </w:rPr>
        <w:t xml:space="preserve"> and performed by EC Outlook on Customer’s behalf under this Agreement.</w:t>
      </w:r>
    </w:p>
    <w:p>
      <w:pPr>
        <w:pStyle w:val="BodyText"/>
        <w:spacing w:before="0" w:after="240"/>
        <w:rPr/>
      </w:pPr>
      <w:r>
        <w:rPr>
          <w:sz w:val="22"/>
        </w:rPr>
        <w:t xml:space="preserve"> “</w:t>
      </w:r>
      <w:r>
        <w:rPr>
          <w:b/>
          <w:i/>
          <w:sz w:val="22"/>
        </w:rPr>
        <w:t>Trading Partner</w:t>
      </w:r>
      <w:r>
        <w:rPr>
          <w:sz w:val="22"/>
        </w:rPr>
        <w:t>” shall mean the entities defined and described in the concurrently-executed agreement between the parties entitled “EC Outlook EDI License Agreement.”</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lICENSES.</w:t>
      </w:r>
    </w:p>
    <w:p>
      <w:pPr>
        <w:pStyle w:val="Heading2"/>
        <w:numPr>
          <w:ilvl w:val="1"/>
          <w:numId w:val="11"/>
        </w:numPr>
        <w:spacing w:before="0" w:after="240"/>
        <w:ind w:firstLine="720" w:start="0" w:end="0"/>
        <w:rPr>
          <w:sz w:val="22"/>
        </w:rPr>
      </w:pPr>
      <w:r>
        <w:rPr>
          <w:b/>
          <w:sz w:val="22"/>
        </w:rPr>
        <w:t>License to Customer Content</w:t>
      </w:r>
      <w:r>
        <w:rPr>
          <w:sz w:val="22"/>
        </w:rPr>
        <w:t>.  During the Term of this Agreement, Customer hereby grants to EC Outlook a limited, non-transferable, non-exclusive, worldwide, royalty-free license to store, reproduce, transmit, and digitally display the Customer Content solely in conjunction with EC Outlook’s performance of the Services and solely for the benefit for Customer.  Customer understands that it and its Trading Partners are responsible for the generation and use of Customer Content.  Customer acknowledges and agrees that EC Outlook does not monitor or exert control over the Customer Content, when the Customer or Trading Partners access the Customer Content, or how the Customer and its Trading Partners use the Customer Content.</w:t>
      </w:r>
    </w:p>
    <w:p>
      <w:pPr>
        <w:pStyle w:val="Heading2"/>
        <w:numPr>
          <w:ilvl w:val="1"/>
          <w:numId w:val="11"/>
        </w:numPr>
        <w:spacing w:before="0" w:after="240"/>
        <w:ind w:firstLine="720" w:start="0" w:end="0"/>
        <w:rPr>
          <w:sz w:val="22"/>
        </w:rPr>
      </w:pPr>
      <w:r>
        <w:rPr>
          <w:b/>
          <w:sz w:val="22"/>
        </w:rPr>
        <w:t>Access to Customer’s Equipment and Facilities</w:t>
      </w:r>
      <w:r>
        <w:rPr>
          <w:sz w:val="22"/>
        </w:rPr>
        <w:t>.  The EDI Technology is installed on Customer’s equipment at Customer’s facilities.  A list showing the Customer equipment on which individual portions of the EDI Technology are installed (“</w:t>
      </w:r>
      <w:r>
        <w:rPr>
          <w:b/>
          <w:i/>
          <w:sz w:val="22"/>
        </w:rPr>
        <w:t>Customer’s Hardware</w:t>
      </w:r>
      <w:r>
        <w:rPr>
          <w:sz w:val="22"/>
        </w:rPr>
        <w:t>”), and Customer’s facilities within which Customer’s Hardware is located (“</w:t>
      </w:r>
      <w:r>
        <w:rPr>
          <w:b/>
          <w:i/>
          <w:sz w:val="22"/>
        </w:rPr>
        <w:t>Customer’s Facilities</w:t>
      </w:r>
      <w:r>
        <w:rPr>
          <w:sz w:val="22"/>
        </w:rPr>
        <w:t xml:space="preserve">”), is set forth in the attached </w:t>
      </w:r>
      <w:r>
        <w:rPr>
          <w:sz w:val="22"/>
          <w:u w:val="single"/>
        </w:rPr>
        <w:t>Schedule D</w:t>
      </w:r>
      <w:r>
        <w:rPr>
          <w:sz w:val="22"/>
        </w:rPr>
        <w:t>.  EC Outlook shall obtain no ownership interest whatsoever in Customer’s Hardware or Customer’s Facilities, and Customer shall obtain no ownership interest whatsoever in any EDI Technology, residing on Customer’s Hardware or not.</w:t>
      </w:r>
    </w:p>
    <w:p>
      <w:pPr>
        <w:pStyle w:val="Heading2"/>
        <w:numPr>
          <w:ilvl w:val="1"/>
          <w:numId w:val="11"/>
        </w:numPr>
        <w:spacing w:before="0" w:after="240"/>
        <w:ind w:firstLine="720" w:start="0" w:end="0"/>
        <w:rPr>
          <w:sz w:val="22"/>
        </w:rPr>
      </w:pPr>
      <w:r>
        <w:rPr>
          <w:b/>
          <w:sz w:val="22"/>
        </w:rPr>
        <w:t>License to EDI Technology Required</w:t>
      </w:r>
      <w:r>
        <w:rPr>
          <w:sz w:val="22"/>
        </w:rPr>
        <w:t xml:space="preserve">.  EC Outlook’s obligation to provide Services as set forth in this Agreement is contingent on Customer executing and maintaining a license to the EDI Technology pursuant to a separate agreement with EC Outlook.  EC Outlook does not grant any license, by implication or otherwise, to the EDI Technology under the provisions of this Agreement.  </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OBLIGATIONS of the parties</w:t>
      </w:r>
      <w:r>
        <w:rPr>
          <w:rFonts w:cs="Times New Roman" w:ascii="Times New Roman" w:hAnsi="Times New Roman"/>
          <w:sz w:val="22"/>
        </w:rPr>
        <w:t>.</w:t>
      </w:r>
    </w:p>
    <w:p>
      <w:pPr>
        <w:pStyle w:val="Heading2"/>
        <w:numPr>
          <w:ilvl w:val="1"/>
          <w:numId w:val="11"/>
        </w:numPr>
        <w:spacing w:before="0" w:after="240"/>
        <w:ind w:firstLine="720" w:start="0" w:end="0"/>
        <w:rPr>
          <w:sz w:val="22"/>
        </w:rPr>
      </w:pPr>
      <w:r>
        <w:rPr>
          <w:b/>
          <w:sz w:val="22"/>
        </w:rPr>
        <w:t>Initial Training</w:t>
      </w:r>
      <w:r>
        <w:rPr>
          <w:sz w:val="22"/>
        </w:rPr>
        <w:t>.  Prior to the Actual Service Date, Customer agrees to use commercially reasonable efforts to provide EC Outlook with sufficient information, training, and assistance so that EC Outlook may perform the Services as of the Actual Service Date in a manner consistent with the mutually agreed upon service level.  The parties agree that, to the extent that Customer fails or delays in providing such information, training, and assistance, and provided that EC Outlook notifies Customer in writing within five (5) business days of such failure or delay, EC Outlook’s obligations and/or performance times hereunder shall be extended or excused, as appropriate.</w:t>
      </w:r>
    </w:p>
    <w:p>
      <w:pPr>
        <w:pStyle w:val="Heading2"/>
        <w:numPr>
          <w:ilvl w:val="1"/>
          <w:numId w:val="11"/>
        </w:numPr>
        <w:spacing w:before="0" w:after="240"/>
        <w:ind w:firstLine="720" w:start="0" w:end="0"/>
        <w:rPr>
          <w:sz w:val="22"/>
        </w:rPr>
      </w:pPr>
      <w:r>
        <w:rPr>
          <w:b/>
          <w:sz w:val="22"/>
        </w:rPr>
        <w:t>Cooperation</w:t>
      </w:r>
      <w:r>
        <w:rPr>
          <w:sz w:val="22"/>
        </w:rPr>
        <w:t>.  Customer agrees to cooperate with and assist EC Outlook in the performance of the Services by providing such information and access to personnel and other resources as may be reasonably requested in connection with such performance.  The parties agree that, to the extent that Customer fails or delays in providing such cooperation and assistance, and provided that EC Outlook notifies Customer in writing within five (5) business days of such failure or delay, EC Outlook’s obligations and/or performance times hereunder shall be extended or excused, as appropriate.</w:t>
      </w:r>
    </w:p>
    <w:p>
      <w:pPr>
        <w:pStyle w:val="Heading2"/>
        <w:numPr>
          <w:ilvl w:val="1"/>
          <w:numId w:val="11"/>
        </w:numPr>
        <w:spacing w:before="0" w:after="240"/>
        <w:ind w:firstLine="720" w:start="0" w:end="0"/>
        <w:rPr>
          <w:sz w:val="22"/>
        </w:rPr>
      </w:pPr>
      <w:r>
        <w:rPr>
          <w:b/>
          <w:sz w:val="22"/>
        </w:rPr>
        <w:t>Customer’s Hardware and Connectivity Services</w:t>
      </w:r>
      <w:r>
        <w:rPr>
          <w:sz w:val="22"/>
        </w:rPr>
        <w:t xml:space="preserve">.  Customer shall be solely responsible for maintaining Customer’s Hardware and connectivity services, and Customer agrees to replace, add to, modify, or upgrade Customer’s Hardware and connectivity services as may be necessary and commercially reasonable to facilitate EC Outlook’s performance of the Services.  The connectivity services are described in the attached </w:t>
      </w:r>
      <w:r>
        <w:rPr>
          <w:sz w:val="22"/>
          <w:u w:val="single"/>
        </w:rPr>
        <w:t>Schedule E</w:t>
      </w:r>
      <w:r>
        <w:rPr>
          <w:sz w:val="22"/>
        </w:rPr>
        <w:t>.</w:t>
      </w:r>
    </w:p>
    <w:p>
      <w:pPr>
        <w:pStyle w:val="Heading2"/>
        <w:numPr>
          <w:ilvl w:val="1"/>
          <w:numId w:val="11"/>
        </w:numPr>
        <w:spacing w:before="0" w:after="240"/>
        <w:ind w:firstLine="720" w:start="0" w:end="0"/>
        <w:rPr>
          <w:sz w:val="22"/>
        </w:rPr>
      </w:pPr>
      <w:r>
        <w:rPr>
          <w:b/>
          <w:sz w:val="22"/>
        </w:rPr>
        <w:t>Third Party Software</w:t>
      </w:r>
      <w:r>
        <w:rPr>
          <w:sz w:val="22"/>
        </w:rPr>
        <w:t xml:space="preserve">.  Customer shall be solely responsible for obtaining and maintaining the third party software reasonably necessary for the operation of the Services.  This third party software is described in </w:t>
      </w:r>
      <w:r>
        <w:rPr>
          <w:sz w:val="22"/>
          <w:u w:val="single"/>
        </w:rPr>
        <w:t>Schedule E</w:t>
      </w:r>
      <w:r>
        <w:rPr>
          <w:sz w:val="22"/>
        </w:rPr>
        <w:t>.</w:t>
      </w:r>
    </w:p>
    <w:p>
      <w:pPr>
        <w:pStyle w:val="Heading2"/>
        <w:numPr>
          <w:ilvl w:val="1"/>
          <w:numId w:val="11"/>
        </w:numPr>
        <w:spacing w:before="0" w:after="240"/>
        <w:ind w:firstLine="720" w:start="0" w:end="0"/>
        <w:rPr>
          <w:sz w:val="22"/>
        </w:rPr>
      </w:pPr>
      <w:r>
        <w:rPr>
          <w:b/>
          <w:sz w:val="22"/>
        </w:rPr>
        <w:t>Other Equipment</w:t>
      </w:r>
      <w:r>
        <w:rPr>
          <w:sz w:val="22"/>
        </w:rPr>
        <w:t xml:space="preserve">. EC Outlook shall have no obligation or liability with respect to the Services, and shall be indemnified and held harmless by Customer, if Customer fails to obtain, install, operate or maintain any additional equipment, services, software, and licenses as required under </w:t>
      </w:r>
      <w:r>
        <w:rPr>
          <w:sz w:val="22"/>
          <w:u w:val="single"/>
        </w:rPr>
        <w:t xml:space="preserve">Sections 3.2, </w:t>
      </w:r>
      <w:r>
        <w:rPr>
          <w:sz w:val="22"/>
        </w:rPr>
        <w:t xml:space="preserve"> </w:t>
      </w:r>
      <w:r>
        <w:rPr>
          <w:sz w:val="22"/>
          <w:u w:val="single"/>
        </w:rPr>
        <w:t>3.3</w:t>
      </w:r>
      <w:r>
        <w:rPr>
          <w:sz w:val="22"/>
        </w:rPr>
        <w:t xml:space="preserve"> and</w:t>
      </w:r>
      <w:r>
        <w:rPr>
          <w:sz w:val="22"/>
          <w:u w:val="single"/>
        </w:rPr>
        <w:t xml:space="preserve"> 3.4</w:t>
      </w:r>
      <w:r>
        <w:rPr>
          <w:sz w:val="22"/>
        </w:rPr>
        <w:t xml:space="preserve">. </w:t>
      </w:r>
    </w:p>
    <w:p>
      <w:pPr>
        <w:pStyle w:val="Heading2"/>
        <w:numPr>
          <w:ilvl w:val="1"/>
          <w:numId w:val="11"/>
        </w:numPr>
        <w:spacing w:before="0" w:after="240"/>
        <w:ind w:firstLine="720" w:start="0" w:end="0"/>
        <w:rPr>
          <w:sz w:val="22"/>
        </w:rPr>
      </w:pPr>
      <w:r>
        <w:rPr>
          <w:b/>
          <w:sz w:val="22"/>
        </w:rPr>
        <w:t>EC Outlook to Provide Services</w:t>
      </w:r>
      <w:r>
        <w:rPr>
          <w:sz w:val="22"/>
        </w:rPr>
        <w:t>.  Customer represents and warrants that (a) a third party is currently performing services analogous to those defined herein under a separate agreement (“Third Party Services Agreement”), (b) Customer has authority to terminate the Third Party Services Agreement at will by providing six (6) months advance written notice thereof, (c) Customer intends to so terminate the Third Party Services Agreement, and (d) Customer wishes for EC Outlook to begin performing the Services on the date when the Third Party Services Agreement terminates in fact (“</w:t>
      </w:r>
      <w:r>
        <w:rPr>
          <w:b/>
          <w:i/>
          <w:sz w:val="22"/>
        </w:rPr>
        <w:t>Actual Service Date</w:t>
      </w:r>
      <w:r>
        <w:rPr>
          <w:sz w:val="22"/>
        </w:rPr>
        <w:t>”).</w:t>
      </w:r>
    </w:p>
    <w:p>
      <w:pPr>
        <w:pStyle w:val="Heading2"/>
        <w:numPr>
          <w:ilvl w:val="1"/>
          <w:numId w:val="11"/>
        </w:numPr>
        <w:spacing w:before="0" w:after="240"/>
        <w:ind w:firstLine="720" w:start="0" w:end="0"/>
        <w:rPr>
          <w:sz w:val="22"/>
        </w:rPr>
      </w:pPr>
      <w:r>
        <w:rPr>
          <w:b/>
          <w:sz w:val="22"/>
        </w:rPr>
        <w:t>Actual Service Date</w:t>
      </w:r>
      <w:r>
        <w:rPr>
          <w:sz w:val="22"/>
        </w:rPr>
        <w:t>.  The Actual Service Date shall be presumed to occur six (6) months after the Effective Date.  Customer may change the Actual Service Date, in its sole discretion, to a date between the Effective Date and nine (9) months thereafter, except that Customer must give at least sixty (60) days’ notice to EC Outlook prior to any change of the Actual Service Date.</w:t>
      </w:r>
    </w:p>
    <w:p>
      <w:pPr>
        <w:pStyle w:val="Heading2"/>
        <w:numPr>
          <w:ilvl w:val="1"/>
          <w:numId w:val="11"/>
        </w:numPr>
        <w:spacing w:before="0" w:after="240"/>
        <w:ind w:firstLine="720" w:start="0" w:end="0"/>
        <w:rPr>
          <w:sz w:val="22"/>
        </w:rPr>
      </w:pPr>
      <w:r>
        <w:rPr>
          <w:b/>
          <w:sz w:val="22"/>
        </w:rPr>
        <w:t>Services</w:t>
      </w:r>
      <w:r>
        <w:rPr>
          <w:sz w:val="22"/>
        </w:rPr>
        <w:t xml:space="preserve">.  EC Outlook shall perform the Services described on </w:t>
      </w:r>
      <w:r>
        <w:rPr>
          <w:sz w:val="22"/>
          <w:u w:val="single"/>
        </w:rPr>
        <w:t>Schedule B</w:t>
      </w:r>
      <w:r>
        <w:rPr>
          <w:sz w:val="22"/>
        </w:rPr>
        <w:t xml:space="preserve"> under the terms and conditions of this Agreement during the Service Period.  </w:t>
      </w:r>
    </w:p>
    <w:p>
      <w:pPr>
        <w:pStyle w:val="Heading2"/>
        <w:numPr>
          <w:ilvl w:val="1"/>
          <w:numId w:val="11"/>
        </w:numPr>
        <w:spacing w:before="0" w:after="240"/>
        <w:ind w:firstLine="720" w:start="0" w:end="0"/>
        <w:rPr>
          <w:sz w:val="22"/>
        </w:rPr>
      </w:pPr>
      <w:r>
        <w:rPr>
          <w:b/>
          <w:sz w:val="22"/>
        </w:rPr>
        <w:t>Service Level Agreement</w:t>
      </w:r>
      <w:r>
        <w:rPr>
          <w:sz w:val="22"/>
        </w:rPr>
        <w:t>.  The parties will negotiate mutually agreeable service level agreement(s) within 120 days of the Effective Date.`</w:t>
      </w:r>
    </w:p>
    <w:p>
      <w:pPr>
        <w:pStyle w:val="Heading2"/>
        <w:numPr>
          <w:ilvl w:val="1"/>
          <w:numId w:val="11"/>
        </w:numPr>
        <w:spacing w:before="0" w:after="240"/>
        <w:ind w:firstLine="720" w:start="0" w:end="0"/>
        <w:rPr>
          <w:sz w:val="22"/>
        </w:rPr>
      </w:pPr>
      <w:r>
        <w:rPr>
          <w:b/>
          <w:sz w:val="22"/>
        </w:rPr>
        <w:t>Consultation</w:t>
      </w:r>
      <w:r>
        <w:rPr>
          <w:sz w:val="22"/>
        </w:rPr>
        <w:t xml:space="preserve">.  Upon reasonable request by Customer, and without in any way limiting Customer’s obligations under </w:t>
      </w:r>
      <w:r>
        <w:rPr>
          <w:sz w:val="22"/>
          <w:u w:val="single"/>
        </w:rPr>
        <w:t>Sections 3.2</w:t>
      </w:r>
      <w:r>
        <w:rPr>
          <w:sz w:val="22"/>
        </w:rPr>
        <w:t xml:space="preserve">, </w:t>
      </w:r>
      <w:r>
        <w:rPr>
          <w:sz w:val="22"/>
          <w:u w:val="single"/>
        </w:rPr>
        <w:t>3.3</w:t>
      </w:r>
      <w:r>
        <w:rPr>
          <w:sz w:val="22"/>
        </w:rPr>
        <w:t xml:space="preserve">, and </w:t>
      </w:r>
      <w:r>
        <w:rPr>
          <w:sz w:val="22"/>
          <w:u w:val="single"/>
        </w:rPr>
        <w:t>3.4</w:t>
      </w:r>
      <w:r>
        <w:rPr>
          <w:sz w:val="22"/>
        </w:rPr>
        <w:t xml:space="preserve">, EC Outlook agrees to consult from time to time with Customer regarding potential changes and enhancements to the items described in those Sections. </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PERSONNEL.</w:t>
      </w:r>
    </w:p>
    <w:p>
      <w:pPr>
        <w:pStyle w:val="Heading2"/>
        <w:numPr>
          <w:ilvl w:val="1"/>
          <w:numId w:val="11"/>
        </w:numPr>
        <w:spacing w:before="0" w:after="240"/>
        <w:ind w:firstLine="720" w:start="0" w:end="0"/>
        <w:rPr>
          <w:sz w:val="22"/>
        </w:rPr>
      </w:pPr>
      <w:r>
        <w:rPr>
          <w:b/>
          <w:sz w:val="22"/>
        </w:rPr>
        <w:t>EC Outlook’s Personnel</w:t>
      </w:r>
      <w:r>
        <w:rPr>
          <w:sz w:val="22"/>
        </w:rPr>
        <w:t>.  EC Outlook will dedicate, full-time, three (3) professionals to perform the Services during the Service Period (“</w:t>
      </w:r>
      <w:r>
        <w:rPr>
          <w:b/>
          <w:i/>
          <w:sz w:val="22"/>
        </w:rPr>
        <w:t>EC Outlook Personnel</w:t>
      </w:r>
      <w:r>
        <w:rPr>
          <w:sz w:val="22"/>
        </w:rPr>
        <w:t>”).</w:t>
      </w:r>
    </w:p>
    <w:p>
      <w:pPr>
        <w:pStyle w:val="Heading2"/>
        <w:numPr>
          <w:ilvl w:val="1"/>
          <w:numId w:val="11"/>
        </w:numPr>
        <w:spacing w:before="0" w:after="240"/>
        <w:ind w:firstLine="720" w:start="0" w:end="0"/>
        <w:rPr>
          <w:sz w:val="22"/>
        </w:rPr>
      </w:pPr>
      <w:r>
        <w:rPr>
          <w:b/>
          <w:sz w:val="22"/>
        </w:rPr>
        <w:t>Additional Operating Personnel</w:t>
      </w:r>
      <w:r>
        <w:rPr>
          <w:sz w:val="22"/>
        </w:rPr>
        <w:t>.  The parties agree to review the resources required to provide the Services on at least a quarterly basis to determine if additional personnel resources (“</w:t>
      </w:r>
      <w:r>
        <w:rPr>
          <w:b/>
          <w:i/>
          <w:sz w:val="22"/>
        </w:rPr>
        <w:t>Additional Operating Personnel</w:t>
      </w:r>
      <w:r>
        <w:rPr>
          <w:sz w:val="22"/>
        </w:rPr>
        <w:t>”) are needed to perform the Services.  If the parties agree that Additional Operating Personnel are needed, (a) Customer may provide those human resources at its own cost or (b) if the parties mutually agree, EC Outlook will provide those human resources (“</w:t>
      </w:r>
      <w:r>
        <w:rPr>
          <w:b/>
          <w:i/>
          <w:sz w:val="22"/>
        </w:rPr>
        <w:t>Additional</w:t>
      </w:r>
      <w:r>
        <w:rPr>
          <w:sz w:val="22"/>
        </w:rPr>
        <w:t xml:space="preserve"> </w:t>
      </w:r>
      <w:r>
        <w:rPr>
          <w:b/>
          <w:i/>
          <w:sz w:val="22"/>
        </w:rPr>
        <w:t>Full-Time EC Outlook Professional(s)</w:t>
      </w:r>
      <w:r>
        <w:rPr>
          <w:sz w:val="22"/>
        </w:rPr>
        <w:t xml:space="preserve">”), and Customer will pay EC Outlook for the Additional Full-Time EC Outlook Professional(s) as set forth on </w:t>
      </w:r>
      <w:r>
        <w:rPr>
          <w:sz w:val="22"/>
          <w:u w:val="single"/>
        </w:rPr>
        <w:t>Schedule A</w:t>
      </w:r>
      <w:r>
        <w:rPr>
          <w:sz w:val="22"/>
        </w:rPr>
        <w:t>.</w:t>
      </w:r>
    </w:p>
    <w:p>
      <w:pPr>
        <w:pStyle w:val="Heading2"/>
        <w:numPr>
          <w:ilvl w:val="1"/>
          <w:numId w:val="11"/>
        </w:numPr>
        <w:spacing w:before="0" w:after="240"/>
        <w:ind w:firstLine="720" w:start="0" w:end="0"/>
        <w:rPr>
          <w:sz w:val="22"/>
        </w:rPr>
      </w:pPr>
      <w:r>
        <w:rPr>
          <w:b/>
          <w:sz w:val="22"/>
        </w:rPr>
        <w:t>Modifications and Enhancements</w:t>
      </w:r>
      <w:r>
        <w:rPr>
          <w:sz w:val="22"/>
        </w:rPr>
        <w:t xml:space="preserve">.  The parties may mutually agree that EC Outlook provide modifications and enhancements to the EDI Technology (“System Changes”) during the Term.  As a precondition to EC Outlook providing any System Change, the parties must execute a mutually agreeable version of Customer’s Agreement for Project Services.  Any System Change which EC Outlook agrees to provide will then be provided in accordance with the provisions of that professional services agreement.  The parties agree that EC Outlook’s work associated with providing System Changes under the professional services agreement will be charged to and paid by Customer at the professional services rates set forth in the attached </w:t>
      </w:r>
      <w:r>
        <w:rPr>
          <w:sz w:val="22"/>
          <w:u w:val="single"/>
        </w:rPr>
        <w:t>Schedule C</w:t>
      </w:r>
      <w:r>
        <w:rPr>
          <w:sz w:val="22"/>
        </w:rPr>
        <w:t xml:space="preserve"> or as mutually agreed by the parties. </w:t>
      </w:r>
    </w:p>
    <w:p>
      <w:pPr>
        <w:pStyle w:val="Heading2"/>
        <w:numPr>
          <w:ilvl w:val="1"/>
          <w:numId w:val="11"/>
        </w:numPr>
        <w:ind w:firstLine="720" w:start="0" w:end="0"/>
        <w:rPr>
          <w:sz w:val="22"/>
        </w:rPr>
      </w:pPr>
      <w:r>
        <w:rPr>
          <w:b/>
          <w:sz w:val="22"/>
        </w:rPr>
        <w:t>Subcontractors</w:t>
      </w:r>
      <w:r>
        <w:rPr>
          <w:sz w:val="22"/>
        </w:rPr>
        <w:t xml:space="preserve">.  EC Outlook shall not utilize the services of any individual, company or other entity as a subcontractor or an independent contractor to assist in performing the Services unless: (a) EC Outlook obtains the prior written permission of Customer to utilize the services of such subcontractor or independent contractor in connection with the Services; and (b) EC Outlook obtains, and provides to Customer, a written agreement of such subcontractor or independent contractor, in form and substance acceptable to Customer, obligating the subcontractor or independent contractor to terms and conditions substantially the same as the terms and conditions of </w:t>
      </w:r>
      <w:r>
        <w:rPr>
          <w:sz w:val="22"/>
          <w:u w:val="single"/>
        </w:rPr>
        <w:t>Section 6.5</w:t>
      </w:r>
      <w:r>
        <w:rPr>
          <w:sz w:val="22"/>
        </w:rPr>
        <w:t xml:space="preserve"> and </w:t>
      </w:r>
      <w:r>
        <w:rPr>
          <w:sz w:val="22"/>
          <w:u w:val="single"/>
        </w:rPr>
        <w:t>Sections 8 - 10</w:t>
      </w:r>
      <w:r>
        <w:rPr>
          <w:sz w:val="22"/>
        </w:rPr>
        <w:t xml:space="preserve"> of this Agreement.</w:t>
      </w:r>
    </w:p>
    <w:p>
      <w:pPr>
        <w:pStyle w:val="Heading2"/>
        <w:numPr>
          <w:ilvl w:val="1"/>
          <w:numId w:val="11"/>
        </w:numPr>
        <w:ind w:firstLine="720" w:start="0" w:end="0"/>
        <w:rPr>
          <w:sz w:val="22"/>
        </w:rPr>
      </w:pPr>
      <w:r>
        <w:rPr>
          <w:b/>
          <w:sz w:val="22"/>
        </w:rPr>
        <w:t>Staffing</w:t>
      </w:r>
      <w:r>
        <w:rPr>
          <w:sz w:val="22"/>
        </w:rPr>
        <w:t>. EC Outlook agrees to use reasonable efforts to ensure the continuity of EC Outlook employees and contractors assigned to perform the Services.  If such an EC Outlook employee or contractor gives notice of leaving to become employed by or through Customer, Customer agrees to delay such employment for a reasonable time to permit EC Outlook to identify an acceptable replacement and complete a transition whereby the replacement person becomes prepared to adequately perform the Services.  In the event EC Outlook reassigns any of its employees or contractors assigned to perform Services, EC Outlook will promptly provide a replacement acceptable to Customer.</w:t>
      </w:r>
    </w:p>
    <w:p>
      <w:pPr>
        <w:pStyle w:val="Heading2"/>
        <w:numPr>
          <w:ilvl w:val="1"/>
          <w:numId w:val="11"/>
        </w:numPr>
        <w:ind w:firstLine="720" w:start="0" w:end="0"/>
        <w:rPr>
          <w:sz w:val="22"/>
        </w:rPr>
      </w:pPr>
      <w:r>
        <w:rPr>
          <w:b/>
          <w:sz w:val="22"/>
        </w:rPr>
        <w:t>Personnel Removal</w:t>
      </w:r>
      <w:r>
        <w:rPr>
          <w:sz w:val="22"/>
        </w:rPr>
        <w:t>.  If Customer reasonably determines that any individual employed by EC Outlook in providing the Services is unsuited or unqualified, Customer shall notify EC Outlook and the Parties shall consult and review the individual's performance.  In the event that, anytime after five (5) business days from the date of such consultation and review, if Customer reasonably determines that the individual in question is still unsuited or unqualified, EC Outlook will remove that individual from the provision of Services to Customer and provide a suitable qualified replacement, acceptable to Customer, as promptly as practicable.  In the event that Customer reasonably determines that any anticipated or actual delays in meeting Customer's deadlines or scheduled completion dates for work being performed under this Agreement are caused by the unacceptable performance of any EC Outlook employee, Customer shall notify the EC Outlook, and the parties shall consult and review the situation.  In the event that upon such consultation and review, Customer reasonably determines that such delay has been caused by the unacceptable performance of any EC Outlook employee, EC Outlook shall provide additional temporary personnel, as requested by Customer at no additional charge to Customer, in order to complete the assignment involved in a timely manner.</w:t>
      </w:r>
    </w:p>
    <w:p>
      <w:pPr>
        <w:pStyle w:val="Heading2"/>
        <w:numPr>
          <w:ilvl w:val="1"/>
          <w:numId w:val="11"/>
        </w:numPr>
        <w:ind w:firstLine="720" w:start="0" w:end="0"/>
        <w:rPr>
          <w:sz w:val="22"/>
        </w:rPr>
      </w:pPr>
      <w:r>
        <w:rPr>
          <w:b/>
          <w:sz w:val="22"/>
        </w:rPr>
        <w:t>Policy Compliance</w:t>
      </w:r>
      <w:r>
        <w:rPr>
          <w:sz w:val="22"/>
        </w:rPr>
        <w:t>.</w:t>
      </w:r>
      <w:r>
        <w:rPr>
          <w:b/>
          <w:sz w:val="22"/>
        </w:rPr>
        <w:t xml:space="preserve">  </w:t>
      </w:r>
      <w:r>
        <w:rPr>
          <w:sz w:val="22"/>
        </w:rPr>
        <w:t>EC Outlook personnel, when deemed appropriate by Customer, will be issued visitor identification cards. Each such card will be surrendered by EC Outlook personnel upon demand by Customer or upon termination of this Agreement. EC Outlook personnel will comply with Customer's security regulations and other Customer policies particular to each Customer work location.</w:t>
      </w:r>
    </w:p>
    <w:p>
      <w:pPr>
        <w:pStyle w:val="Heading2"/>
        <w:numPr>
          <w:ilvl w:val="1"/>
          <w:numId w:val="11"/>
        </w:numPr>
        <w:ind w:firstLine="720" w:start="0" w:end="0"/>
        <w:rPr>
          <w:sz w:val="22"/>
        </w:rPr>
      </w:pPr>
      <w:r>
        <w:rPr>
          <w:b/>
          <w:sz w:val="22"/>
        </w:rPr>
        <w:t>Employee Agreements</w:t>
      </w:r>
      <w:r>
        <w:rPr>
          <w:sz w:val="22"/>
        </w:rPr>
        <w:t>.  EC Outlook shall obtain and maintain in effect written agreements with each of its employees, contractors and other personnel who participate in any work under this Agreement sufficient to comply with all provisions of this Agreement.</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FEES AND PAYMENTS.</w:t>
      </w:r>
    </w:p>
    <w:p>
      <w:pPr>
        <w:pStyle w:val="Heading2"/>
        <w:numPr>
          <w:ilvl w:val="1"/>
          <w:numId w:val="11"/>
        </w:numPr>
        <w:spacing w:before="0" w:after="240"/>
        <w:ind w:firstLine="720" w:start="0" w:end="0"/>
        <w:rPr>
          <w:sz w:val="22"/>
        </w:rPr>
      </w:pPr>
      <w:r>
        <w:rPr>
          <w:b/>
          <w:sz w:val="22"/>
        </w:rPr>
        <w:t>EC Outlook Personnel</w:t>
      </w:r>
      <w:r>
        <w:rPr>
          <w:sz w:val="22"/>
        </w:rPr>
        <w:t xml:space="preserve">.  In consideration of EC Outlook’s provision of the Services with EC Outlook Personnel, Customer agrees to pay the applicable fees set forth in the attached </w:t>
      </w:r>
      <w:r>
        <w:rPr>
          <w:sz w:val="22"/>
          <w:u w:val="single"/>
        </w:rPr>
        <w:t>Schedule A</w:t>
      </w:r>
      <w:r>
        <w:rPr>
          <w:sz w:val="22"/>
        </w:rPr>
        <w:t xml:space="preserve">. </w:t>
      </w:r>
    </w:p>
    <w:p>
      <w:pPr>
        <w:pStyle w:val="Heading2"/>
        <w:numPr>
          <w:ilvl w:val="1"/>
          <w:numId w:val="11"/>
        </w:numPr>
        <w:spacing w:before="0" w:after="240"/>
        <w:ind w:firstLine="720" w:start="0" w:end="0"/>
        <w:rPr>
          <w:sz w:val="22"/>
        </w:rPr>
      </w:pPr>
      <w:r>
        <w:rPr>
          <w:b/>
          <w:sz w:val="22"/>
        </w:rPr>
        <w:t>Additional Full-Time EC Outlook Professional(s)</w:t>
      </w:r>
      <w:r>
        <w:rPr>
          <w:sz w:val="22"/>
        </w:rPr>
        <w:t xml:space="preserve">.  If the parties mutually agree that EC Outlook will provide Additional Full-Time EC Outlook Professional(s) pursuant to </w:t>
      </w:r>
      <w:r>
        <w:rPr>
          <w:sz w:val="22"/>
          <w:u w:val="single"/>
        </w:rPr>
        <w:t>Section 4.2</w:t>
      </w:r>
      <w:r>
        <w:rPr>
          <w:sz w:val="22"/>
        </w:rPr>
        <w:t xml:space="preserve">, Customer agrees to pay the applicable fees set forth on </w:t>
      </w:r>
      <w:r>
        <w:rPr>
          <w:sz w:val="22"/>
          <w:u w:val="single"/>
        </w:rPr>
        <w:t>Schedule A</w:t>
      </w:r>
      <w:r>
        <w:rPr>
          <w:sz w:val="22"/>
        </w:rPr>
        <w:t>.</w:t>
      </w:r>
    </w:p>
    <w:p>
      <w:pPr>
        <w:pStyle w:val="Heading2"/>
        <w:numPr>
          <w:ilvl w:val="1"/>
          <w:numId w:val="11"/>
        </w:numPr>
        <w:spacing w:before="0" w:after="240"/>
        <w:ind w:firstLine="720" w:start="0" w:end="0"/>
        <w:rPr>
          <w:sz w:val="22"/>
        </w:rPr>
      </w:pPr>
      <w:r>
        <w:rPr>
          <w:b/>
          <w:sz w:val="22"/>
        </w:rPr>
        <w:t>Payment</w:t>
      </w:r>
      <w:r>
        <w:rPr>
          <w:sz w:val="22"/>
        </w:rPr>
        <w:t xml:space="preserve">.  Unless otherwise noted on </w:t>
      </w:r>
      <w:r>
        <w:rPr>
          <w:sz w:val="22"/>
          <w:u w:val="single"/>
        </w:rPr>
        <w:t>Schedule A</w:t>
      </w:r>
      <w:r>
        <w:rPr>
          <w:sz w:val="22"/>
        </w:rPr>
        <w:t>, all fees due EC Outlook hereunder shall be payable in United States’ dollars within thirty (30) days of receipt the invoice.  All past due amounts will bear interest from the date payable until paid in full at a rate of one and one-half percent (1.5%) per month or the highest rate permitted by applicable law, whichever is less.</w:t>
      </w:r>
    </w:p>
    <w:p>
      <w:pPr>
        <w:pStyle w:val="Heading2"/>
        <w:numPr>
          <w:ilvl w:val="1"/>
          <w:numId w:val="11"/>
        </w:numPr>
        <w:spacing w:before="0" w:after="240"/>
        <w:ind w:firstLine="720" w:start="0" w:end="0"/>
        <w:rPr>
          <w:sz w:val="22"/>
        </w:rPr>
      </w:pPr>
      <w:r>
        <w:rPr>
          <w:b/>
          <w:sz w:val="22"/>
        </w:rPr>
        <w:t>Taxes</w:t>
      </w:r>
      <w:r>
        <w:rPr>
          <w:sz w:val="22"/>
        </w:rPr>
        <w:t>.  Any amounts due EC Outlook under this Agreement do not include any amounts for taxes.  Customer will promptly pay or reimburse EC Outlook if any duty, sales, use, value-added, excise, property, withholding or other tax, penalty or interest, however designated, is (or should ultimately be) assessed against or is levied upon: (a) the EDI Technology (or any portion thereof), or the use thereof or the resources used therefore; (b) EC Outlook’s charges for the Services; or (c) all matters covered by this Agreement.  Such amounts shall be indicated separately on invoices submitted by EC Outlook.  The provisions of this Section do not apply to any franchise taxes or to taxes based on EC Outlook’s net income.</w:t>
      </w:r>
    </w:p>
    <w:p>
      <w:pPr>
        <w:pStyle w:val="Heading1"/>
        <w:numPr>
          <w:ilvl w:val="0"/>
          <w:numId w:val="11"/>
        </w:numPr>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TERMINATION.</w:t>
      </w:r>
    </w:p>
    <w:p>
      <w:pPr>
        <w:pStyle w:val="Heading2"/>
        <w:numPr>
          <w:ilvl w:val="1"/>
          <w:numId w:val="11"/>
        </w:numPr>
        <w:spacing w:before="0" w:after="240"/>
        <w:ind w:firstLine="720" w:start="0" w:end="0"/>
        <w:rPr>
          <w:sz w:val="22"/>
        </w:rPr>
      </w:pPr>
      <w:r>
        <w:rPr>
          <w:b/>
          <w:sz w:val="22"/>
        </w:rPr>
        <w:t>Term</w:t>
      </w:r>
      <w:r>
        <w:rPr>
          <w:sz w:val="22"/>
        </w:rPr>
        <w:t>.  The “</w:t>
      </w:r>
      <w:r>
        <w:rPr>
          <w:b/>
          <w:i/>
          <w:sz w:val="22"/>
        </w:rPr>
        <w:t>Initial Term</w:t>
      </w:r>
      <w:r>
        <w:rPr>
          <w:sz w:val="22"/>
        </w:rPr>
        <w:t xml:space="preserve">” of this Agreement begins on the Effective Date and, unless terminated earlier pursuant to </w:t>
      </w:r>
      <w:r>
        <w:rPr>
          <w:sz w:val="22"/>
          <w:u w:val="single"/>
        </w:rPr>
        <w:t>Section 6.2</w:t>
      </w:r>
      <w:r>
        <w:rPr>
          <w:sz w:val="22"/>
        </w:rPr>
        <w:t>, will terminate five (5) years after the Service Date.  Thereafter, the Agreement will renew automatically for subsequent one (1) year terms (each a “</w:t>
      </w:r>
      <w:r>
        <w:rPr>
          <w:b/>
          <w:i/>
          <w:sz w:val="22"/>
        </w:rPr>
        <w:t>Renewal Term</w:t>
      </w:r>
      <w:r>
        <w:rPr>
          <w:sz w:val="22"/>
        </w:rPr>
        <w:t>”), unless either party gives notice of its intent to terminate no less than sixty (60) days prior to the end of the then-current term.  The Initial Term along with any subsequent Renewal Term(s) are referred to as the “</w:t>
      </w:r>
      <w:r>
        <w:rPr>
          <w:b/>
          <w:i/>
          <w:sz w:val="22"/>
        </w:rPr>
        <w:t>Term</w:t>
      </w:r>
      <w:r>
        <w:rPr>
          <w:sz w:val="22"/>
        </w:rPr>
        <w:t>.”</w:t>
      </w:r>
    </w:p>
    <w:p>
      <w:pPr>
        <w:pStyle w:val="Heading2"/>
        <w:numPr>
          <w:ilvl w:val="1"/>
          <w:numId w:val="11"/>
        </w:numPr>
        <w:spacing w:before="0" w:after="240"/>
        <w:ind w:firstLine="720" w:start="0" w:end="0"/>
        <w:rPr>
          <w:sz w:val="22"/>
        </w:rPr>
      </w:pPr>
      <w:r>
        <w:rPr>
          <w:b/>
          <w:sz w:val="22"/>
        </w:rPr>
        <w:t>Other Termination</w:t>
      </w:r>
      <w:r>
        <w:rPr>
          <w:sz w:val="22"/>
        </w:rPr>
        <w:t xml:space="preserve">.  This Agreement may be terminated by either party by providing written notice thereof:  (a) if the other party commits a material breach of this Agreement, which breach, if capable of being cured, is not cured within fifteen (15) days of a written notice of termination; (b) immediately if the other party terminates or suspends its business; (c) immediately if the other party becomes insolvent, admits in writing its inability to pay its debts as they mature, makes an assignment for the benefit of creditors, or becomes subject to direct control of a trustee, receiver or similar authority; (d) if the other party becomes subject to any bankruptcy or insolvency proceeding under federal or state statutes which is not rescinded within forty-five (45) days; (e) immediately if the other party breaches any provision of </w:t>
      </w:r>
      <w:r>
        <w:rPr>
          <w:sz w:val="22"/>
          <w:u w:val="single"/>
        </w:rPr>
        <w:t>Section 7</w:t>
      </w:r>
      <w:r>
        <w:rPr>
          <w:sz w:val="22"/>
        </w:rPr>
        <w:t xml:space="preserve"> of this Agreement.   </w:t>
      </w:r>
    </w:p>
    <w:p>
      <w:pPr>
        <w:pStyle w:val="Heading2"/>
        <w:numPr>
          <w:ilvl w:val="1"/>
          <w:numId w:val="11"/>
        </w:numPr>
        <w:spacing w:before="0" w:after="240"/>
        <w:ind w:firstLine="720" w:start="0" w:end="0"/>
        <w:rPr>
          <w:sz w:val="22"/>
        </w:rPr>
      </w:pPr>
      <w:r>
        <w:rPr>
          <w:b/>
          <w:sz w:val="22"/>
        </w:rPr>
        <w:t>Effect of Termination</w:t>
      </w:r>
      <w:r>
        <w:rPr>
          <w:sz w:val="22"/>
        </w:rPr>
        <w:t xml:space="preserve">.  Upon expiration or termination of this Agreement, (a) EC Outlook shall have no further obligation to provide the Services, return all Confidential Information of Customer in its possession or control, and certify to Customer that it has complied with the provisions of this </w:t>
      </w:r>
      <w:r>
        <w:rPr>
          <w:sz w:val="22"/>
          <w:u w:val="single"/>
        </w:rPr>
        <w:t>Section 6</w:t>
      </w:r>
      <w:r>
        <w:rPr>
          <w:sz w:val="22"/>
        </w:rPr>
        <w:t xml:space="preserve">, and (b) Customer shall immediately pay to EC Outlook any and all outstanding fees, charges, payments and expenses due pursuant to this Agreement that are due or have accrued up to the date of termination or expiration of this Agreement, within thirty (30) days return all EDI Technology and Confidential Information of EC Outlook in its (or its Trading Partners’) possession or control (excepting any information and EDI Technology provided as a result of a technology escrow agreement conversion event based on EC Outlook’s bankruptcy or similar inability to carry on normal business operations), and certify to EC Outlook that it has complied with the provisions of this </w:t>
      </w:r>
      <w:r>
        <w:rPr>
          <w:sz w:val="22"/>
          <w:u w:val="single"/>
        </w:rPr>
        <w:t>Section 6</w:t>
      </w:r>
      <w:r>
        <w:rPr>
          <w:sz w:val="22"/>
        </w:rPr>
        <w:t xml:space="preserve">.  Notwithstanding anything to the contrary herein, EC Outlook shall immediately refund to Customer any monies paid in advance by Customer for particular months in which EC Outlook, due to termination or cancellation of this Agreement, cannot perform any Services. </w:t>
      </w:r>
    </w:p>
    <w:p>
      <w:pPr>
        <w:pStyle w:val="Heading2"/>
        <w:numPr>
          <w:ilvl w:val="1"/>
          <w:numId w:val="11"/>
        </w:numPr>
        <w:spacing w:before="0" w:after="240"/>
        <w:ind w:firstLine="720" w:start="0" w:end="0"/>
        <w:rPr>
          <w:sz w:val="22"/>
        </w:rPr>
      </w:pPr>
      <w:r>
        <w:rPr>
          <w:b/>
          <w:sz w:val="22"/>
        </w:rPr>
        <w:t>Survival</w:t>
      </w:r>
      <w:r>
        <w:rPr>
          <w:sz w:val="22"/>
        </w:rPr>
        <w:t xml:space="preserve">.  Any accrued payment obligations and the provisions of </w:t>
      </w:r>
      <w:r>
        <w:rPr>
          <w:sz w:val="22"/>
          <w:u w:val="single"/>
        </w:rPr>
        <w:t>Sections 6-10</w:t>
      </w:r>
      <w:r>
        <w:rPr>
          <w:sz w:val="22"/>
        </w:rPr>
        <w:t xml:space="preserve"> shall survive termination of this Agreement, except that </w:t>
      </w:r>
      <w:r>
        <w:rPr>
          <w:sz w:val="22"/>
          <w:u w:val="single"/>
        </w:rPr>
        <w:t>Section 7</w:t>
      </w:r>
      <w:r>
        <w:rPr>
          <w:sz w:val="22"/>
        </w:rPr>
        <w:t>, ‘Confidentiality’, shall survive until such Confidential Information has no commercial value.  Termination will not affect any right or remedy at law or in equity of either party.</w:t>
      </w:r>
    </w:p>
    <w:p>
      <w:pPr>
        <w:pStyle w:val="Heading2"/>
        <w:numPr>
          <w:ilvl w:val="1"/>
          <w:numId w:val="11"/>
        </w:numPr>
        <w:ind w:firstLine="720" w:start="0" w:end="0"/>
        <w:rPr>
          <w:sz w:val="22"/>
        </w:rPr>
      </w:pPr>
      <w:r>
        <w:rPr>
          <w:b/>
          <w:sz w:val="22"/>
        </w:rPr>
        <w:t>Return of Material</w:t>
      </w:r>
      <w:r>
        <w:rPr>
          <w:sz w:val="22"/>
        </w:rPr>
        <w:t xml:space="preserve">.  Irrespective of whether the information, data, documents and materials is subject to the obligations of confidence imposed by </w:t>
      </w:r>
      <w:r>
        <w:rPr>
          <w:sz w:val="22"/>
          <w:u w:val="single"/>
        </w:rPr>
        <w:t>Section 7</w:t>
      </w:r>
      <w:r>
        <w:rPr>
          <w:sz w:val="22"/>
        </w:rPr>
        <w:t>, ‘Confidentiality’, upon completion of the Services, or the termination of this Agreement, each party shall immediately return to the other party (and Customer shall immediately cause its Trading Partners to return to EC Outlook) all such information, data, Customer Content, documents and materials, as well as any and all copies, summaries or extracts thereof (digital or otherwise).  Each party shall also immediately return to the other party all such information, data, documents and materials, as well as any and all copies, summaries or extracts thereof, whenever requested by the other party.</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CONFIDENTIALITY.</w:t>
      </w:r>
    </w:p>
    <w:p>
      <w:pPr>
        <w:pStyle w:val="Heading2"/>
        <w:numPr>
          <w:ilvl w:val="1"/>
          <w:numId w:val="11"/>
        </w:numPr>
        <w:spacing w:before="0" w:after="240"/>
        <w:ind w:firstLine="720" w:start="0" w:end="0"/>
        <w:rPr>
          <w:sz w:val="22"/>
        </w:rPr>
      </w:pPr>
      <w:r>
        <w:rPr>
          <w:sz w:val="22"/>
        </w:rPr>
        <w:t xml:space="preserve">As between the parties, the Confidential Information of each party will remain its sole property.  Confidential Information will be used by the recipient party only for purposes of, or as otherwise authorized by, this Agreement.  Each party will hold the Confidential Information of the other party in confidence and protect such Confidential Information from disclosure using the same care it uses to protect its own confidential information of like importance, but not less than reasonable care.  No Confidential Information will be disclosed by the recipient party without the prior written consent of the other party, except that each party may disclose this Agreement and the other party’s Confidential Information to its directors, employees, attorneys, agents, auditors, insurers and subcontractors who require access to such information in connection with their employment or engagement and who are obligated to keep such information confidential in a manner no less restrictive than set forth in this </w:t>
      </w:r>
      <w:r>
        <w:rPr>
          <w:sz w:val="22"/>
          <w:u w:val="single"/>
        </w:rPr>
        <w:t>Section 7.1</w:t>
      </w:r>
      <w:r>
        <w:rPr>
          <w:sz w:val="22"/>
        </w:rPr>
        <w:t>.  The party employing or engaging such persons is responsible and liable for their compliance with such confidentiality obligations.</w:t>
      </w:r>
    </w:p>
    <w:p>
      <w:pPr>
        <w:pStyle w:val="Heading2"/>
        <w:numPr>
          <w:ilvl w:val="1"/>
          <w:numId w:val="11"/>
        </w:numPr>
        <w:spacing w:before="0" w:after="240"/>
        <w:ind w:firstLine="720" w:start="0" w:end="0"/>
        <w:rPr>
          <w:sz w:val="22"/>
        </w:rPr>
      </w:pPr>
      <w:r>
        <w:rPr>
          <w:sz w:val="22"/>
        </w:rPr>
        <w:t>The parties recognize and agree that the use or disclosure of any Confidential Information of a party in a manner inconsistent with the provisions of this Agreement may cause the disclosing party irreparable damage for which adequate remedy at law may not be available.  Accordingly, each party shall be entitled to seek temporary and/or permanent injunctive relief against such breach or violation from any court of competent jurisdiction immediately upon request.  The right of each party to seek injunctive relief shall not limit in any manner that party’s right to seek other and/or additional remedies at law or in equity.  If Confidential Information is required to be disclosed by law or a governmental authority, including pursuant to a subpoena or court order, such Confidential Information may be disclosed, provided that the party required to disclose the Confidential Information: (a) promptly notifies the disclosing party of the disclosure requirement; (b) cooperates with the disclosing party’s reasonable efforts to resist or narrow the disclosure and to obtain an order or other reliable assurance that confidential treatment will be accorded the disclosing party’s Confidential Information; and (c) furnishes only Confidential Information that the party is legally compelled to disclose according to advice of its legal counsel.  Upon written request at the expiration or termination of this Agreement, all documented Confidential Information (and all copies thereof) owned by the requesting party will be returned or destroyed by the recipient party, with written certification thereof.</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ownershiP.</w:t>
      </w:r>
    </w:p>
    <w:p>
      <w:pPr>
        <w:pStyle w:val="Heading2"/>
        <w:numPr>
          <w:ilvl w:val="1"/>
          <w:numId w:val="11"/>
        </w:numPr>
        <w:spacing w:before="0" w:after="240"/>
        <w:ind w:firstLine="720" w:start="0" w:end="0"/>
        <w:rPr>
          <w:sz w:val="22"/>
        </w:rPr>
      </w:pPr>
      <w:r>
        <w:rPr>
          <w:b/>
          <w:sz w:val="22"/>
        </w:rPr>
        <w:t>Intellectual Property Ownership</w:t>
      </w:r>
      <w:r>
        <w:rPr>
          <w:sz w:val="22"/>
        </w:rPr>
        <w:t xml:space="preserve">.  All rights, title, and interest in and to the tools, know-how, methodologies, processes, technologies or algorithms used by EC Outlook in performing the Services, including, but not limited to, Intellectual Property Rights and Derivative Works, are and shall remain the sole and exclusive property of EC Outlook. </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WARRANTIES, DISCLAIMERS, INDEMNITIES AND LIABILITY LIMITATIONS.</w:t>
      </w:r>
    </w:p>
    <w:p>
      <w:pPr>
        <w:pStyle w:val="Heading2"/>
        <w:numPr>
          <w:ilvl w:val="1"/>
          <w:numId w:val="11"/>
        </w:numPr>
        <w:tabs>
          <w:tab w:val="clear" w:pos="720"/>
          <w:tab w:val="left" w:pos="540" w:leader="none"/>
        </w:tabs>
        <w:spacing w:before="0" w:after="240"/>
        <w:ind w:firstLine="720" w:start="0" w:end="0"/>
        <w:rPr>
          <w:sz w:val="22"/>
        </w:rPr>
      </w:pPr>
      <w:r>
        <w:rPr>
          <w:b/>
          <w:sz w:val="22"/>
        </w:rPr>
        <w:t>General Warranties</w:t>
      </w:r>
      <w:r>
        <w:rPr>
          <w:sz w:val="22"/>
        </w:rPr>
        <w:t xml:space="preserve">.  Each party hereby represents and warrants to the other that: (a) it has the corporate power and authority and the legal right to enter into this Agreement and to perform its obligations hereunder and has taken all necessary corporate action on its part to authorize the execution and delivery of this Agreement and the performance of its obligations hereunder; and (b) the execution and delivery of this Agreement and the performance of such party’s obligations hereunder (i) do not and will not conflict with or violate any requirement of applicable laws or regulations, and (ii) do not and will not conflict with, or constitute a default under, any contractual obligations of it.  </w:t>
      </w:r>
    </w:p>
    <w:p>
      <w:pPr>
        <w:pStyle w:val="Heading2"/>
        <w:numPr>
          <w:ilvl w:val="1"/>
          <w:numId w:val="11"/>
        </w:numPr>
        <w:tabs>
          <w:tab w:val="clear" w:pos="720"/>
          <w:tab w:val="left" w:pos="540" w:leader="none"/>
        </w:tabs>
        <w:spacing w:before="0" w:after="240"/>
        <w:ind w:firstLine="720" w:start="0" w:end="0"/>
        <w:rPr>
          <w:sz w:val="22"/>
        </w:rPr>
      </w:pPr>
      <w:r>
        <w:rPr>
          <w:b/>
          <w:sz w:val="22"/>
        </w:rPr>
        <w:t>Customer Warranties</w:t>
      </w:r>
      <w:r>
        <w:rPr>
          <w:sz w:val="22"/>
        </w:rPr>
        <w:t>.  Customer represents and warrants: (a) Customer owns or has sufficient rights in and to the Customer Content to authorize EC Outlook to perform all of its obligations under this Agreement with respect thereto; (b) Customer’s or EC Outlook’s use or delivery of the Customer Content will not violate the intellectual property or other proprietary rights of any third party; (c) Customer’s or EC Outlook’s use or delivery of the Customer Content will not violate any applicable law or regulation; and (d) Customer shall, and shall cause its Trading Partners to, comply with all laws, regulations and other legal requirements that apply to this Agreement, including, without limitation, privacy laws and regulations, national security controls, export and import restrictions, and other regulations of any government agencies or authorities of those jurisdictions in which Customer or its Trading Partners access and receive the Services.</w:t>
      </w:r>
    </w:p>
    <w:p>
      <w:pPr>
        <w:pStyle w:val="Heading2"/>
        <w:numPr>
          <w:ilvl w:val="1"/>
          <w:numId w:val="11"/>
        </w:numPr>
        <w:tabs>
          <w:tab w:val="clear" w:pos="720"/>
          <w:tab w:val="left" w:pos="540" w:leader="none"/>
        </w:tabs>
        <w:spacing w:before="0" w:after="240"/>
        <w:ind w:firstLine="720" w:start="0" w:end="0"/>
        <w:rPr>
          <w:sz w:val="22"/>
        </w:rPr>
      </w:pPr>
      <w:r>
        <w:rPr>
          <w:b/>
          <w:sz w:val="22"/>
        </w:rPr>
        <w:t>EC Outlook Warranties</w:t>
      </w:r>
      <w:r>
        <w:rPr>
          <w:sz w:val="22"/>
        </w:rPr>
        <w:t xml:space="preserve">.  EC Outlook represents and warrants that (a) it will perform the Services in substantial conformance with all material aspects of the applicable specifications set forth in the Documentation, (b) EC Outlook shall have the proper skill and background so as to be able to perform in a competent and professional manner all work to be performed in accordance with this Agreement,  (c) EC Outlook is under no obligation or restriction, nor will it assume any obligation or restriction that would interfere with the work to be performed pursuant to this Agreement, (d) EC Outlook shall notify Customer within five (5) business days of any factor, occurrence, or event that may affect EC Outlook's ability to meet the requirements under this Agreement, or is likely to occasion any material delay in delivery of Services, and (e) it will provide security for the Customer Content in accordance with generally accepted industry standards. These warranties extend only to Customer, Customer's subsidiaries and affiliates.  </w:t>
      </w:r>
    </w:p>
    <w:p>
      <w:pPr>
        <w:pStyle w:val="Heading2"/>
        <w:numPr>
          <w:ilvl w:val="1"/>
          <w:numId w:val="11"/>
        </w:numPr>
        <w:tabs>
          <w:tab w:val="clear" w:pos="720"/>
          <w:tab w:val="left" w:pos="540" w:leader="none"/>
        </w:tabs>
        <w:spacing w:before="0" w:after="240"/>
        <w:ind w:firstLine="720" w:start="0" w:end="0"/>
        <w:rPr>
          <w:sz w:val="22"/>
        </w:rPr>
      </w:pPr>
      <w:r>
        <w:rPr>
          <w:b/>
          <w:sz w:val="22"/>
        </w:rPr>
        <w:t>Disclaimer</w:t>
      </w:r>
      <w:r>
        <w:rPr>
          <w:sz w:val="22"/>
        </w:rPr>
        <w:t xml:space="preserve">. EC Outlook does not warrant that the Services will be performed in an error free manner, or that EC Outlook will perform the Services without experiencing problems or interruptions.  Although EC Outlook cannot warrant the security of Customer’s Confidential Information residing on Customer’s Hardware, EC Outlook will safeguard the security of such Confidential Information pursuant to the provisions of </w:t>
      </w:r>
      <w:r>
        <w:rPr>
          <w:sz w:val="22"/>
          <w:u w:val="single"/>
        </w:rPr>
        <w:t>Section 7</w:t>
      </w:r>
      <w:r>
        <w:rPr>
          <w:sz w:val="22"/>
        </w:rPr>
        <w:t xml:space="preserve">.  EC Outlook’s charges for the Services do not include insurance for these inherent risks.  EXCEPT FOR THE LIMITED WARRANTIES DESCRIBED IN THIS </w:t>
      </w:r>
      <w:r>
        <w:rPr>
          <w:sz w:val="22"/>
          <w:u w:val="single"/>
        </w:rPr>
        <w:t>SECTION 9</w:t>
      </w:r>
      <w:r>
        <w:rPr>
          <w:sz w:val="22"/>
        </w:rPr>
        <w:t xml:space="preserve"> AND TO THE EXTENT ALLOWED BY APPLICABLE LAW, EC OUTLOOK MAKES NO OTHER WARRANTIES, EXPRESS, IMPLIED OR STATUTORY, AND EXPRESSLY DISCLAIMS ANY IMPLIED WARRANTIES OF MERCHANTABILITY, FITNESS FOR A PARTICULAR PURPOSE, NONINFRINGEMENT OR ACCURACY, AS WELL AS ANY WARRANTIES ARISING FROM A COURSE OF DEALING, USAGE OR TRADE PRACTICE.</w:t>
      </w:r>
    </w:p>
    <w:p>
      <w:pPr>
        <w:pStyle w:val="Heading2"/>
        <w:numPr>
          <w:ilvl w:val="1"/>
          <w:numId w:val="11"/>
        </w:numPr>
        <w:tabs>
          <w:tab w:val="clear" w:pos="720"/>
          <w:tab w:val="left" w:pos="540" w:leader="none"/>
        </w:tabs>
        <w:spacing w:before="0" w:after="240"/>
        <w:ind w:firstLine="720" w:start="0" w:end="0"/>
        <w:rPr>
          <w:sz w:val="22"/>
        </w:rPr>
      </w:pPr>
      <w:r>
        <w:rPr>
          <w:b/>
          <w:sz w:val="22"/>
        </w:rPr>
        <w:t>Remedy</w:t>
      </w:r>
      <w:r>
        <w:rPr>
          <w:sz w:val="22"/>
        </w:rPr>
        <w:t xml:space="preserve">.  IN THE EVENT OF ANY FAILURE BY EC OUTLOOK TO SATISFACTORILY PERFORM THE SERVICES, FOR WHATEVER REASON, OR EC OUTLOOK’S BREACH OF THE LIMITED WARRANTIES IN </w:t>
      </w:r>
      <w:r>
        <w:rPr>
          <w:sz w:val="22"/>
          <w:u w:val="single"/>
        </w:rPr>
        <w:t>SECTION 9.3</w:t>
      </w:r>
      <w:r>
        <w:rPr>
          <w:sz w:val="22"/>
        </w:rPr>
        <w:t xml:space="preserve">, THE SOLE AND EXCLUSIVE REMEDY OF CUSTOMER WILL BE TO REQUIRE EC OUTLOOK TO USE COMMERCIALLY REASONABLE EFFORTS TO PERFORM THE SERVICES IN ACCORDANCE WITH </w:t>
      </w:r>
      <w:r>
        <w:rPr>
          <w:sz w:val="22"/>
          <w:u w:val="single"/>
        </w:rPr>
        <w:t>SECTION 3</w:t>
      </w:r>
      <w:r>
        <w:rPr>
          <w:sz w:val="22"/>
        </w:rPr>
        <w:t xml:space="preserve">, OR TO TERMINATE THIS AGREEMENT PURSUANT TO </w:t>
      </w:r>
      <w:r>
        <w:rPr>
          <w:sz w:val="22"/>
          <w:u w:val="single"/>
        </w:rPr>
        <w:t>SECTION 6.2</w:t>
      </w:r>
      <w:r>
        <w:rPr>
          <w:sz w:val="22"/>
        </w:rPr>
        <w:t xml:space="preserve">.  CUSTOMER ACKNOWLEDGES AND ACCEPTS THE RISK OF SUCH FAILURE TO SATISFACTORILY PERFORM THE SERVICES AND WAIVES ALL REMEDIES THEREFOR EXCEPT AS OTHERWISE SET FORTH IN THIS </w:t>
      </w:r>
      <w:r>
        <w:rPr>
          <w:sz w:val="22"/>
          <w:u w:val="single"/>
        </w:rPr>
        <w:t>SECTION 9</w:t>
      </w:r>
      <w:r>
        <w:rPr>
          <w:sz w:val="22"/>
        </w:rPr>
        <w:t>.</w:t>
      </w:r>
    </w:p>
    <w:p>
      <w:pPr>
        <w:pStyle w:val="Heading2"/>
        <w:numPr>
          <w:ilvl w:val="1"/>
          <w:numId w:val="11"/>
        </w:numPr>
        <w:tabs>
          <w:tab w:val="clear" w:pos="720"/>
          <w:tab w:val="left" w:pos="540" w:leader="none"/>
        </w:tabs>
        <w:spacing w:before="0" w:after="240"/>
        <w:ind w:firstLine="720" w:start="0" w:end="0"/>
        <w:rPr>
          <w:sz w:val="22"/>
        </w:rPr>
      </w:pPr>
      <w:r>
        <w:rPr>
          <w:b/>
          <w:sz w:val="22"/>
        </w:rPr>
        <w:t>Limitation on Liability</w:t>
      </w:r>
      <w:r>
        <w:rPr>
          <w:sz w:val="22"/>
        </w:rPr>
        <w:t xml:space="preserve">.  Each party agrees that regardless of the form of any claim a party may have against the other party under this Agreement or otherwise, except for a violation of </w:t>
      </w:r>
      <w:r>
        <w:rPr>
          <w:sz w:val="22"/>
          <w:u w:val="single"/>
        </w:rPr>
        <w:t>Section 7</w:t>
      </w:r>
      <w:r>
        <w:rPr>
          <w:sz w:val="22"/>
        </w:rPr>
        <w:t xml:space="preserve"> of this Agreement, for which liability is not limited pursuant to this </w:t>
      </w:r>
      <w:r>
        <w:rPr>
          <w:sz w:val="22"/>
          <w:u w:val="single"/>
        </w:rPr>
        <w:t>Section 9.6</w:t>
      </w:r>
      <w:r>
        <w:rPr>
          <w:sz w:val="22"/>
        </w:rPr>
        <w:t>, a party’s aggregate liability for any damages to a party or to any other party shall not exceed the fees due to be paid EC Outlook under this Agreement during the twelve (12) month period immediately preceding the date of the claim.  Unless due to its own gross negligence or willful misconduct, EC Outlook shall not be responsible for and will bear no liability for damages arising from any unauthorized access, unintentional misuse of, or intrusion into, Customer Content residing on or in the EDI Technology.  TO THE EXTENT ALLOWED BY APPLICABLE LAW, A PARTY WILL NOT BE LIABLE OR RESPONSIBLE FOR ANY COST TO PROCURE SUBSTITUTE GOODS, SERVICES AND/OR TECHNOLOGY, AND/OR SPECIAL, INDIRECT, INCIDENTAL, EXEMPLARY, PUNITIVE, OR CONSEQUENTIAL DAMAGES, SUCH AS, BUT NOT LIMITED TO, LOSS OF PROFITS RESULTING FROM THE SERVICES, OR ARISING OUT OF ANY BREACH OF THIS AGREEMENT OR THE LIMITED WARRANTIES SET FORTH HEREIN, EVEN IF THE PARTY HAS BEEN ADVISED OF THE POSSIBILITY OF SUCH COST AND/OR DAMAGES. THE FOREGOING LIMITATION ON DAMAGES SHALL NOT APPLY TO ANY INDEMNITY, AND EITHER PARTY’S GROSS NEGLIGENCE OR INTENTIONAL MISCONDUCT.</w:t>
      </w:r>
    </w:p>
    <w:p>
      <w:pPr>
        <w:pStyle w:val="Heading2"/>
        <w:numPr>
          <w:ilvl w:val="0"/>
          <w:numId w:val="0"/>
        </w:numPr>
        <w:spacing w:before="0" w:after="240"/>
        <w:ind w:hanging="0" w:start="0"/>
        <w:rPr>
          <w:sz w:val="22"/>
        </w:rPr>
      </w:pPr>
      <w:r>
        <w:rPr>
          <w:sz w:val="22"/>
        </w:rPr>
      </w:r>
    </w:p>
    <w:p>
      <w:pPr>
        <w:pStyle w:val="Heading2"/>
        <w:numPr>
          <w:ilvl w:val="1"/>
          <w:numId w:val="11"/>
        </w:numPr>
        <w:tabs>
          <w:tab w:val="clear" w:pos="720"/>
          <w:tab w:val="left" w:pos="540" w:leader="none"/>
        </w:tabs>
        <w:spacing w:before="0" w:after="240"/>
        <w:ind w:firstLine="720" w:start="0" w:end="0"/>
        <w:rPr/>
      </w:pPr>
      <w:r>
        <w:rPr>
          <w:b/>
          <w:sz w:val="22"/>
        </w:rPr>
        <w:t>Intellectual Property Indemnification</w:t>
      </w:r>
      <w:r>
        <w:rPr>
          <w:sz w:val="22"/>
        </w:rPr>
        <w:t xml:space="preserve">.  </w:t>
      </w:r>
    </w:p>
    <w:p>
      <w:pPr>
        <w:pStyle w:val="Heading3"/>
        <w:numPr>
          <w:ilvl w:val="2"/>
          <w:numId w:val="11"/>
        </w:numPr>
        <w:tabs>
          <w:tab w:val="clear" w:pos="720"/>
        </w:tabs>
        <w:ind w:hanging="0" w:start="0"/>
        <w:rPr>
          <w:sz w:val="22"/>
        </w:rPr>
      </w:pPr>
      <w:r>
        <w:rPr>
          <w:sz w:val="22"/>
        </w:rPr>
        <w:t>Customer agrees to indemnify, defend, protect, save and hold harmless EC Outlook and EC Outlook’s subsidiaries or affiliates under its control, and their directors, officers, employees and agents, against any and all losses, liabilities, judgments, awards and costs (including legal fees and expenses) arising out of or related to any claim that EC Outlook’s performance of the Services associated with the EDI Technology as (a) made or provided by Customer (or its agents), or (b) made or provided by EC Outlook (or its agents) under Customer’s signed writing setting forth specific changes (“</w:t>
      </w:r>
      <w:r>
        <w:rPr>
          <w:b/>
          <w:i/>
          <w:sz w:val="22"/>
        </w:rPr>
        <w:t>Customer’s Direction</w:t>
      </w:r>
      <w:r>
        <w:rPr>
          <w:sz w:val="22"/>
        </w:rPr>
        <w:t xml:space="preserve">”),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Regarding any and all other potential EC Outlook customers of the Services that are unrelated to Customer, the foregoing Customer indemnification obligation shall not apply to similar claims that ultimately require reliance in part or in whole on changes to the EDI Technology made after the Actual Service Date, whether or not such change(s) was/were made under Customer’s Direction.</w:t>
      </w:r>
    </w:p>
    <w:p>
      <w:pPr>
        <w:pStyle w:val="Heading3"/>
        <w:numPr>
          <w:ilvl w:val="2"/>
          <w:numId w:val="11"/>
        </w:numPr>
        <w:tabs>
          <w:tab w:val="clear" w:pos="720"/>
        </w:tabs>
        <w:ind w:hanging="0" w:start="0"/>
        <w:rPr>
          <w:sz w:val="22"/>
        </w:rPr>
      </w:pPr>
      <w:r>
        <w:rPr>
          <w:sz w:val="22"/>
        </w:rPr>
        <w:t xml:space="preserve">Regarding Customer, EC Outlook agrees to indemnify, defend, protect, save and hold harmless Customer and Customer’s subsidiaries or affiliates under its control, and their directors, officers, employees and agents, against any and all losses, liabilities, judgments, awards and costs (including legal fees and expenses) arising out of or related to any claim that EC Outlook’s performance of the Services associated with the EDI Technology as changed by EC Outlook (or its agents), which change was not provided under Customer’s Direction,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 xml:space="preserve">Regarding any and all other potential EC Outlook customers that are unrelated to Customer, EC Outlook agrees to indemnify, defend, protect, save and hold harmless Customer and Customer’s subsidiaries or affiliates under its control, and their directors, officers, employees and agents, against any and all losses, liabilities, judgments, awards and costs (including legal fees and expenses) arising out of or related to any claim that EC Outlook’s performance of the Services associated with the EDI Technology that ultimately requires reliance in part or in whole on changes to the EDI Technology made after the Actual Service Date, whether or not such change(s) was/were made under Customer’s Direction, infringes or violates the copyright, trade secret, patent or any other proprietary right of any third party.  </w:t>
      </w:r>
    </w:p>
    <w:p>
      <w:pPr>
        <w:pStyle w:val="Heading3"/>
        <w:numPr>
          <w:ilvl w:val="2"/>
          <w:numId w:val="11"/>
        </w:numPr>
        <w:tabs>
          <w:tab w:val="clear" w:pos="720"/>
        </w:tabs>
        <w:ind w:hanging="0" w:start="0"/>
        <w:rPr>
          <w:sz w:val="22"/>
        </w:rPr>
      </w:pPr>
      <w:r>
        <w:rPr>
          <w:sz w:val="22"/>
        </w:rPr>
        <w:t xml:space="preserve">The indemnifying party shall defend and settle at its sole expense all suits or proceedings arising in whole or in part out of the foregoing, provided that the indemnified party gives the indemnifying party reasonably prompt notice of any such claim of which it learns.  This obligation of indemnification shall survive even if the indemnified party does not provide the indemnifying party with reasonably prompt notice of any such claim of which the indemnified party learns so long as such failure does not materially prejudice the indemnifying party.  When a party is in fact indemnifying the other party, the indemnified party reserves the right to retain counsel, at the indemnified party’s sole expense, to participate in the defense of any such claim.  The indemnifying party will not settle any such claim or alleged claim without first obtaining the indemnified party’s prior written consent, which consent shall not be unreasonably withheld or delayed, if the terms of such settlement would adversely affect the indemnified party’s rights under this Agreement.  THE FOREGOING PROVISIONS OF THIS </w:t>
      </w:r>
      <w:r>
        <w:rPr>
          <w:sz w:val="22"/>
          <w:u w:val="single"/>
        </w:rPr>
        <w:t>SECTION 9</w:t>
      </w:r>
      <w:r>
        <w:rPr>
          <w:sz w:val="22"/>
        </w:rPr>
        <w:t xml:space="preserve"> STATE THE ENTIRE LIABILITY AND OBLIGATIONS OF THE PARTIES, AND THEIR EXCLUSIVE REMEDY, WITH RESPECT TO ANY INFRINGEMENT OR ALLEGED INFRINGEMENT OF ANY THIRD PARTY RIGHTS ASSOCIATED IN ANY WAY WITH THE EDI TECHNOLOGY UNDER THIS AGREEMENT.</w:t>
      </w:r>
    </w:p>
    <w:p>
      <w:pPr>
        <w:pStyle w:val="Heading1"/>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dot"/>
        </w:tabs>
        <w:spacing w:before="120" w:after="240"/>
        <w:ind w:hanging="0" w:start="0" w:end="0"/>
        <w:jc w:val="start"/>
        <w:rPr>
          <w:rFonts w:ascii="Times New Roman" w:hAnsi="Times New Roman" w:cs="Times New Roman"/>
          <w:sz w:val="22"/>
        </w:rPr>
      </w:pPr>
      <w:r>
        <w:rPr>
          <w:rFonts w:cs="Times New Roman" w:ascii="Times New Roman" w:hAnsi="Times New Roman"/>
          <w:sz w:val="22"/>
          <w:u w:val="single"/>
        </w:rPr>
        <w:t>GENERAL.</w:t>
      </w:r>
    </w:p>
    <w:p>
      <w:pPr>
        <w:pStyle w:val="Heading2"/>
        <w:numPr>
          <w:ilvl w:val="1"/>
          <w:numId w:val="11"/>
        </w:numPr>
        <w:tabs>
          <w:tab w:val="clear" w:pos="720"/>
          <w:tab w:val="left" w:pos="540" w:leader="none"/>
        </w:tabs>
        <w:spacing w:before="0" w:after="240"/>
        <w:ind w:firstLine="720" w:start="0" w:end="0"/>
        <w:rPr>
          <w:sz w:val="22"/>
        </w:rPr>
      </w:pPr>
      <w:r>
        <w:rPr>
          <w:b/>
          <w:sz w:val="22"/>
        </w:rPr>
        <w:t>Assignment</w:t>
      </w:r>
      <w:r>
        <w:rPr>
          <w:sz w:val="22"/>
        </w:rPr>
        <w:t>.  Neither party may transfer, assign, or otherwise dispose of this Agreement, or any of its rights or obligations hereunder, without the prior written consent of the other party; provided, however, that either party may transfer all of its rights or obligations hereunder to a successor to substantially all of the assets and business of that party.</w:t>
      </w:r>
    </w:p>
    <w:p>
      <w:pPr>
        <w:pStyle w:val="Heading2"/>
        <w:numPr>
          <w:ilvl w:val="1"/>
          <w:numId w:val="11"/>
        </w:numPr>
        <w:tabs>
          <w:tab w:val="clear" w:pos="720"/>
          <w:tab w:val="left" w:pos="540" w:leader="none"/>
        </w:tabs>
        <w:spacing w:before="0" w:after="240"/>
        <w:ind w:firstLine="720" w:start="0" w:end="0"/>
        <w:rPr>
          <w:sz w:val="22"/>
        </w:rPr>
      </w:pPr>
      <w:r>
        <w:rPr>
          <w:b/>
          <w:sz w:val="22"/>
        </w:rPr>
        <w:t>No Waiver</w:t>
      </w:r>
      <w:r>
        <w:rPr>
          <w:sz w:val="22"/>
        </w:rPr>
        <w:t>.  The failure of either party to enforce any rights granted hereunder or to take action against the other party in the event of any breach hereunder shall not be deemed a waiver by that party as to subsequent enforcement of rights or subsequent actions in the event of future breaches.</w:t>
      </w:r>
    </w:p>
    <w:p>
      <w:pPr>
        <w:pStyle w:val="Heading2"/>
        <w:numPr>
          <w:ilvl w:val="1"/>
          <w:numId w:val="11"/>
        </w:numPr>
        <w:tabs>
          <w:tab w:val="clear" w:pos="720"/>
          <w:tab w:val="left" w:pos="540" w:leader="none"/>
        </w:tabs>
        <w:spacing w:before="0" w:after="240"/>
        <w:ind w:firstLine="720" w:start="0" w:end="0"/>
        <w:rPr>
          <w:sz w:val="22"/>
        </w:rPr>
      </w:pPr>
      <w:r>
        <w:rPr>
          <w:b/>
          <w:sz w:val="22"/>
        </w:rPr>
        <w:t>Governing Law</w:t>
      </w:r>
      <w:r>
        <w:rPr>
          <w:sz w:val="22"/>
        </w:rPr>
        <w:t>.  THIS AGREEMENT SHALL BE GOVERNED BY, INTERPRETED UNDER, AND CONSTRUED AND ENFORCED IN ACCORDANCE WITH THE LAWS OF THE STATE OF TEXAS, WITHOUT REGARD TO CONFLICTS OF LAW PRINCIPLES.  THE SOLE JURISDICTION AND VENUE FOR ACTIONS RELATED TO THE SUBJECT MATTER HEREOF SHALL BE THE STATE OF TEXAS AND U.S. FEDERAL COURTS HAVING WITH THEIR JURISDICTION THE HARRIS COUNTY, TEXAS OR THE SOUTHERN DISTRICT OF TEXAS.</w:t>
      </w:r>
    </w:p>
    <w:p>
      <w:pPr>
        <w:pStyle w:val="Heading2"/>
        <w:numPr>
          <w:ilvl w:val="1"/>
          <w:numId w:val="11"/>
        </w:numPr>
        <w:tabs>
          <w:tab w:val="clear" w:pos="720"/>
          <w:tab w:val="left" w:pos="540" w:leader="none"/>
        </w:tabs>
        <w:spacing w:before="0" w:after="240"/>
        <w:ind w:firstLine="720" w:start="0" w:end="0"/>
        <w:rPr>
          <w:sz w:val="22"/>
        </w:rPr>
      </w:pPr>
      <w:r>
        <w:rPr>
          <w:b/>
          <w:sz w:val="22"/>
        </w:rPr>
        <w:t>Attorneys Fees</w:t>
      </w:r>
      <w:r>
        <w:rPr>
          <w:sz w:val="22"/>
        </w:rPr>
        <w:t>.  In the event any dispute or litigation arises hereunder between any of the parties hereto, their heirs, personal representatives, agents, successors or assigns, the prevailing party shall be entitled to all reasonable attorney’s fees.</w:t>
      </w:r>
    </w:p>
    <w:p>
      <w:pPr>
        <w:pStyle w:val="Heading2"/>
        <w:numPr>
          <w:ilvl w:val="1"/>
          <w:numId w:val="11"/>
        </w:numPr>
        <w:tabs>
          <w:tab w:val="clear" w:pos="720"/>
          <w:tab w:val="left" w:pos="540" w:leader="none"/>
        </w:tabs>
        <w:spacing w:before="0" w:after="240"/>
        <w:ind w:firstLine="720" w:start="0" w:end="0"/>
        <w:rPr>
          <w:sz w:val="22"/>
        </w:rPr>
      </w:pPr>
      <w:r>
        <w:rPr>
          <w:b/>
          <w:sz w:val="22"/>
        </w:rPr>
        <w:t xml:space="preserve">Relationship of the Parties.  </w:t>
      </w:r>
      <w:r>
        <w:rPr>
          <w:sz w:val="22"/>
        </w:rPr>
        <w:t>The relationship of EC Outlook and Customer established by this Agreement is that of independent contractor, and nothing contained in this Agreement shall be construed: (a) to give either party the power to direct or control the day-to-day activities of the other; or (b) to constitute the parties as partners, franchisee-franchiser, joint venturers, co-owners or otherwise as participants in a joint or common undertaking, or otherwise give rise to fiduciary obligations between the parties.</w:t>
      </w:r>
    </w:p>
    <w:p>
      <w:pPr>
        <w:pStyle w:val="Heading2"/>
        <w:numPr>
          <w:ilvl w:val="1"/>
          <w:numId w:val="11"/>
        </w:numPr>
        <w:tabs>
          <w:tab w:val="clear" w:pos="720"/>
          <w:tab w:val="left" w:pos="540" w:leader="none"/>
        </w:tabs>
        <w:spacing w:before="0" w:after="240"/>
        <w:ind w:firstLine="720" w:start="0" w:end="0"/>
        <w:rPr>
          <w:sz w:val="22"/>
        </w:rPr>
      </w:pPr>
      <w:r>
        <w:rPr>
          <w:b/>
          <w:sz w:val="22"/>
        </w:rPr>
        <w:t>No Third Party Beneficiaries</w:t>
      </w:r>
      <w:r>
        <w:rPr>
          <w:sz w:val="22"/>
        </w:rPr>
        <w:t>.  This Agreement shall not be for the benefit of, or enforceable by, any person or entity not a party hereto and shall not confer any rights or remedies upon any party other than the Parties and their respective successors and permitted assigns.</w:t>
      </w:r>
    </w:p>
    <w:p>
      <w:pPr>
        <w:pStyle w:val="Heading2"/>
        <w:numPr>
          <w:ilvl w:val="1"/>
          <w:numId w:val="11"/>
        </w:numPr>
        <w:tabs>
          <w:tab w:val="clear" w:pos="720"/>
          <w:tab w:val="left" w:pos="540" w:leader="none"/>
        </w:tabs>
        <w:spacing w:before="0" w:after="240"/>
        <w:ind w:firstLine="720" w:start="0" w:end="0"/>
        <w:rPr>
          <w:sz w:val="22"/>
        </w:rPr>
      </w:pPr>
      <w:r>
        <w:rPr>
          <w:b/>
          <w:sz w:val="22"/>
        </w:rPr>
        <w:t>Force Majeure</w:t>
      </w:r>
      <w:r>
        <w:rPr>
          <w:sz w:val="22"/>
        </w:rPr>
        <w:t>.  Except for the obligation to make payments, nonperformance by either party shall be excused to the extent that performance is rendered impossible by strike, fire, flood, governmental acts or orders or restrictions, failure of suppliers (including telecommunications vendors or suppliers), or any other reason where failure to perform is beyond the control and not caused by the negligence of the non-performing party.</w:t>
      </w:r>
    </w:p>
    <w:p>
      <w:pPr>
        <w:pStyle w:val="Heading2"/>
        <w:numPr>
          <w:ilvl w:val="1"/>
          <w:numId w:val="11"/>
        </w:numPr>
        <w:tabs>
          <w:tab w:val="clear" w:pos="720"/>
          <w:tab w:val="left" w:pos="540" w:leader="none"/>
        </w:tabs>
        <w:spacing w:before="0" w:after="240"/>
        <w:ind w:firstLine="720" w:start="0" w:end="0"/>
        <w:rPr>
          <w:sz w:val="22"/>
        </w:rPr>
      </w:pPr>
      <w:r>
        <w:rPr>
          <w:b/>
          <w:sz w:val="22"/>
        </w:rPr>
        <w:t>Construction</w:t>
      </w:r>
      <w:r>
        <w:rPr>
          <w:sz w:val="22"/>
        </w:rPr>
        <w:t>.  In the event any provision of this Agreement or portion thereof is adjudged by any court of competent jurisdiction to be unenforceable or invalid, that provision shall be stricken or modified to the minimum extent necessary so that this Agreement shall remain enforceable, and the remaining provisions of this Agreement shall remain in full force and effect.  All titles, headings and captions are placed in this Agreement merely as a matter of convenience and shall not affect the construction or interpretation of any of its provisions.</w:t>
      </w:r>
    </w:p>
    <w:p>
      <w:pPr>
        <w:pStyle w:val="Heading2"/>
        <w:numPr>
          <w:ilvl w:val="1"/>
          <w:numId w:val="11"/>
        </w:numPr>
        <w:tabs>
          <w:tab w:val="clear" w:pos="720"/>
          <w:tab w:val="left" w:pos="540" w:leader="none"/>
        </w:tabs>
        <w:spacing w:before="0" w:after="240"/>
        <w:ind w:firstLine="720" w:start="0" w:end="0"/>
        <w:rPr>
          <w:sz w:val="22"/>
        </w:rPr>
      </w:pPr>
      <w:r>
        <w:rPr>
          <w:b/>
          <w:sz w:val="22"/>
        </w:rPr>
        <w:t>Entire Agreement</w:t>
      </w:r>
      <w:r>
        <w:rPr>
          <w:sz w:val="22"/>
        </w:rPr>
        <w:t>.  This Agreement constitutes the entire, final, complete and exclusive agreement between the parties and supersedes all prior or simultaneous agreements, proposals, representations, discussions, negotiations, and all industry customs or trade practices, oral or written, relating to this Agreement.  Neither party has made this Agreement by reason of or in reliance on any representations of fact or opinion which are not fully stated in this Agreement.  This Agreement may not be modified or amended except in writing signed by a duly authorized representative of each party.  Both parties acknowledge having read the terms and conditions set forth in this Agreement and all attachments hereto, understand all terms and conditions, and agree to be bound thereby.</w:t>
      </w:r>
    </w:p>
    <w:p>
      <w:pPr>
        <w:pStyle w:val="Heading2"/>
        <w:numPr>
          <w:ilvl w:val="1"/>
          <w:numId w:val="11"/>
        </w:numPr>
        <w:tabs>
          <w:tab w:val="clear" w:pos="720"/>
          <w:tab w:val="left" w:pos="540" w:leader="none"/>
        </w:tabs>
        <w:spacing w:before="0" w:after="240"/>
        <w:ind w:firstLine="720" w:start="0" w:end="0"/>
        <w:rPr>
          <w:sz w:val="22"/>
        </w:rPr>
      </w:pPr>
      <w:r>
        <w:rPr>
          <w:b/>
          <w:sz w:val="22"/>
        </w:rPr>
        <w:t>Schedules</w:t>
      </w:r>
      <w:r>
        <w:rPr>
          <w:sz w:val="22"/>
        </w:rPr>
        <w:t>.  It is acknowledged and agreed that all appendices, annexes, schedules and exhibits to this Agreement are an integral part hereof and are incorporated, in total, by reference fully as a part of this Agreement in all respects.</w:t>
      </w:r>
    </w:p>
    <w:p>
      <w:pPr>
        <w:pStyle w:val="Heading2"/>
        <w:numPr>
          <w:ilvl w:val="1"/>
          <w:numId w:val="11"/>
        </w:numPr>
        <w:tabs>
          <w:tab w:val="clear" w:pos="720"/>
          <w:tab w:val="left" w:pos="540" w:leader="none"/>
        </w:tabs>
        <w:spacing w:before="0" w:after="240"/>
        <w:ind w:firstLine="720" w:start="0" w:end="0"/>
        <w:rPr>
          <w:b/>
          <w:sz w:val="22"/>
        </w:rPr>
      </w:pPr>
      <w:r>
        <w:rPr>
          <w:b/>
          <w:sz w:val="22"/>
        </w:rPr>
        <w:t>Media Releases</w:t>
      </w:r>
      <w:r>
        <w:rPr>
          <w:sz w:val="22"/>
        </w:rPr>
        <w:t>. Neither Party may at any time make media releases, public announcements or other disclosures relating to the existence of this Agreement and the Services  without the prior written consent of the other Party.</w:t>
      </w:r>
    </w:p>
    <w:p>
      <w:pPr>
        <w:pStyle w:val="Heading2"/>
        <w:numPr>
          <w:ilvl w:val="1"/>
          <w:numId w:val="11"/>
        </w:numPr>
        <w:tabs>
          <w:tab w:val="clear" w:pos="720"/>
          <w:tab w:val="left" w:pos="540" w:leader="none"/>
        </w:tabs>
        <w:spacing w:before="0" w:after="240"/>
        <w:ind w:firstLine="720" w:start="0" w:end="0"/>
        <w:rPr>
          <w:b/>
          <w:sz w:val="22"/>
        </w:rPr>
      </w:pPr>
      <w:r>
        <w:rPr>
          <w:b/>
          <w:sz w:val="22"/>
        </w:rPr>
        <w:t>Notices</w:t>
      </w:r>
      <w:r>
        <w:rPr>
          <w:sz w:val="22"/>
        </w:rPr>
        <w:t>.  Unless otherwise provided, any notice required or permitted under this Agreement shall be given in writing and shall be deemed effectively given upon personal delivery to the party to be notified or two (2) days following timely deposit with a reputable international overnight courier with express delivery instructions at the address indicated below or at such other address as such party may designate by ten (10) days’ advance written notice to the other party pursuant to these provisions.</w:t>
      </w:r>
    </w:p>
    <w:p>
      <w:pPr>
        <w:pStyle w:val="Normal"/>
        <w:keepNext w:val="true"/>
        <w:suppressAutoHyphens w:val="true"/>
        <w:ind w:start="720" w:end="0"/>
        <w:rPr/>
      </w:pPr>
      <w:r>
        <w:rPr/>
        <w:t>To EC Outlook:</w:t>
        <w:tab/>
        <w:tab/>
        <w:t>ECOutlook.com, Inc.</w:t>
      </w:r>
    </w:p>
    <w:p>
      <w:pPr>
        <w:pStyle w:val="Normal"/>
        <w:keepNext w:val="true"/>
        <w:suppressAutoHyphens w:val="true"/>
        <w:rPr/>
      </w:pPr>
      <w:r>
        <w:rPr/>
        <w:tab/>
        <w:tab/>
        <w:tab/>
        <w:tab/>
        <w:t>9800 Centre Parkway, Suite 530</w:t>
      </w:r>
    </w:p>
    <w:p>
      <w:pPr>
        <w:pStyle w:val="Normal"/>
        <w:keepNext w:val="true"/>
        <w:suppressAutoHyphens w:val="true"/>
        <w:rPr/>
      </w:pPr>
      <w:r>
        <w:rPr/>
        <w:tab/>
        <w:tab/>
        <w:tab/>
        <w:tab/>
        <w:t>Houston, Texas  77036</w:t>
      </w:r>
    </w:p>
    <w:p>
      <w:pPr>
        <w:pStyle w:val="Normal"/>
        <w:suppressAutoHyphens w:val="true"/>
        <w:spacing w:before="0" w:after="240"/>
        <w:rPr/>
      </w:pPr>
      <w:r>
        <w:rPr/>
        <w:tab/>
        <w:tab/>
        <w:tab/>
        <w:tab/>
        <w:t>Attention:   Chief Executive Officer</w:t>
        <w:br/>
        <w:tab/>
        <w:tab/>
        <w:tab/>
        <w:tab/>
        <w:t>Fax:  (713) 773-9944</w:t>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J. Matthew Lyons, P.C.</w:t>
      </w:r>
    </w:p>
    <w:p>
      <w:pPr>
        <w:pStyle w:val="Normal"/>
        <w:keepNext w:val="true"/>
        <w:suppressAutoHyphens w:val="true"/>
        <w:ind w:firstLine="720" w:start="2160" w:end="0"/>
        <w:rPr/>
      </w:pPr>
      <w:r>
        <w:rPr/>
        <w:t>Brobeck, Phleger &amp; Harrison LLP</w:t>
      </w:r>
    </w:p>
    <w:p>
      <w:pPr>
        <w:pStyle w:val="Normal"/>
        <w:keepNext w:val="true"/>
        <w:suppressAutoHyphens w:val="true"/>
        <w:ind w:firstLine="720" w:start="2160" w:end="0"/>
        <w:rPr/>
      </w:pPr>
      <w:r>
        <w:rPr/>
        <w:t>4801 Plaza on the Lake</w:t>
      </w:r>
    </w:p>
    <w:p>
      <w:pPr>
        <w:pStyle w:val="Normal"/>
        <w:keepNext w:val="true"/>
        <w:suppressAutoHyphens w:val="true"/>
        <w:ind w:firstLine="720" w:start="2160" w:end="0"/>
        <w:rPr/>
      </w:pPr>
      <w:r>
        <w:rPr/>
        <w:t>Austin, Texas 78746</w:t>
      </w:r>
    </w:p>
    <w:p>
      <w:pPr>
        <w:pStyle w:val="Normal"/>
        <w:suppressAutoHyphens w:val="true"/>
        <w:ind w:firstLine="720" w:start="2160" w:end="0"/>
        <w:rPr/>
      </w:pPr>
      <w:r>
        <w:rPr/>
        <w:t>Fax:  (512) 330-4001</w:t>
      </w:r>
    </w:p>
    <w:p>
      <w:pPr>
        <w:pStyle w:val="Normal"/>
        <w:keepNext w:val="true"/>
        <w:keepLines/>
        <w:spacing w:before="240" w:after="0"/>
        <w:ind w:start="720" w:end="0"/>
        <w:rPr/>
      </w:pPr>
      <w:r>
        <w:rPr/>
        <w:t>To Customer:</w:t>
        <w:tab/>
        <w:tab/>
        <w:t>Enron Corp.</w:t>
      </w:r>
    </w:p>
    <w:p>
      <w:pPr>
        <w:pStyle w:val="Normal"/>
        <w:keepNext w:val="true"/>
        <w:keepLines/>
        <w:ind w:firstLine="720" w:start="2160" w:end="0"/>
        <w:rPr/>
      </w:pPr>
      <w:r>
        <w:rPr/>
        <w:t>1400 Smith Street</w:t>
      </w:r>
    </w:p>
    <w:p>
      <w:pPr>
        <w:pStyle w:val="Normal"/>
        <w:keepNext w:val="true"/>
        <w:keepLines/>
        <w:ind w:firstLine="720" w:start="2160" w:end="0"/>
        <w:rPr/>
      </w:pPr>
      <w:r>
        <w:rPr/>
        <w:t>Houston, Texas 77001</w:t>
      </w:r>
    </w:p>
    <w:p>
      <w:pPr>
        <w:pStyle w:val="Normal"/>
        <w:keepNext w:val="true"/>
        <w:keepLines/>
        <w:ind w:start="2880" w:end="0"/>
        <w:rPr/>
      </w:pPr>
      <w:r>
        <w:rPr/>
        <w:t xml:space="preserve">Attention:  Philippe Bibi, </w:t>
      </w:r>
    </w:p>
    <w:p>
      <w:pPr>
        <w:pStyle w:val="Normal"/>
        <w:keepNext w:val="true"/>
        <w:keepLines/>
        <w:ind w:start="2880" w:end="0"/>
        <w:rPr/>
      </w:pPr>
      <w:r>
        <w:rPr/>
        <w:t>Managing Director Chief Technology Officer</w:t>
      </w:r>
    </w:p>
    <w:p>
      <w:pPr>
        <w:pStyle w:val="Normal"/>
        <w:keepNext w:val="true"/>
        <w:keepLines/>
        <w:ind w:start="2880" w:end="0"/>
        <w:rPr/>
      </w:pPr>
      <w:r>
        <w:rPr/>
        <w:t>Fax:  (713) 646-333</w:t>
      </w:r>
    </w:p>
    <w:p>
      <w:pPr>
        <w:pStyle w:val="Normal"/>
        <w:keepNext w:val="true"/>
        <w:keepLines/>
        <w:rPr/>
      </w:pPr>
      <w:r>
        <w:rPr/>
      </w:r>
    </w:p>
    <w:p>
      <w:pPr>
        <w:pStyle w:val="Normal"/>
        <w:suppressAutoHyphens w:val="true"/>
        <w:spacing w:before="0" w:after="240"/>
        <w:ind w:firstLine="720" w:start="720" w:end="0"/>
        <w:jc w:val="both"/>
        <w:rPr/>
      </w:pPr>
      <w:r>
        <w:rPr/>
        <w:t>with a copy (which shall not constitute notice) to:</w:t>
      </w:r>
    </w:p>
    <w:p>
      <w:pPr>
        <w:pStyle w:val="Normal"/>
        <w:keepNext w:val="true"/>
        <w:suppressAutoHyphens w:val="true"/>
        <w:ind w:firstLine="720" w:start="2160" w:end="0"/>
        <w:rPr/>
      </w:pPr>
      <w:r>
        <w:rPr/>
        <w:t>Enron Corp.</w:t>
      </w:r>
    </w:p>
    <w:p>
      <w:pPr>
        <w:pStyle w:val="Normal"/>
        <w:keepNext w:val="true"/>
        <w:suppressAutoHyphens w:val="true"/>
        <w:ind w:firstLine="720" w:start="2160" w:end="0"/>
        <w:rPr/>
      </w:pPr>
      <w:r>
        <w:rPr/>
        <w:t>1400 Smith Street</w:t>
      </w:r>
    </w:p>
    <w:p>
      <w:pPr>
        <w:pStyle w:val="Normal"/>
        <w:keepNext w:val="true"/>
        <w:suppressAutoHyphens w:val="true"/>
        <w:ind w:firstLine="720" w:start="2160" w:end="0"/>
        <w:rPr/>
      </w:pPr>
      <w:r>
        <w:rPr/>
        <w:t>Houston, TX 77002</w:t>
      </w:r>
    </w:p>
    <w:p>
      <w:pPr>
        <w:pStyle w:val="Normal"/>
        <w:keepNext w:val="true"/>
        <w:suppressAutoHyphens w:val="true"/>
        <w:ind w:firstLine="720" w:start="2160" w:end="0"/>
        <w:rPr/>
      </w:pPr>
      <w:r>
        <w:rPr/>
        <w:t>Executive Vice President and General Counsel</w:t>
      </w:r>
    </w:p>
    <w:p>
      <w:pPr>
        <w:pStyle w:val="Normal"/>
        <w:keepNext w:val="true"/>
        <w:suppressAutoHyphens w:val="true"/>
        <w:ind w:firstLine="720" w:start="2160" w:end="0"/>
        <w:rPr/>
      </w:pPr>
      <w:r>
        <w:rPr/>
        <w:t xml:space="preserve">Fax: 713-853-3920 </w:t>
      </w:r>
    </w:p>
    <w:p>
      <w:pPr>
        <w:pStyle w:val="Normal"/>
        <w:keepNext w:val="true"/>
        <w:keepLines/>
        <w:ind w:firstLine="720" w:start="2160" w:end="0"/>
        <w:rPr/>
      </w:pPr>
      <w:r>
        <w:rPr/>
      </w:r>
    </w:p>
    <w:p>
      <w:pPr>
        <w:pStyle w:val="Heading2"/>
        <w:numPr>
          <w:ilvl w:val="1"/>
          <w:numId w:val="11"/>
        </w:numPr>
        <w:tabs>
          <w:tab w:val="clear" w:pos="720"/>
          <w:tab w:val="left" w:pos="540" w:leader="none"/>
        </w:tabs>
        <w:spacing w:before="0" w:after="240"/>
        <w:ind w:firstLine="720" w:start="0" w:end="0"/>
        <w:rPr>
          <w:sz w:val="22"/>
        </w:rPr>
      </w:pPr>
      <w:r>
        <w:rPr>
          <w:b/>
          <w:sz w:val="22"/>
        </w:rPr>
        <w:t>Counterparts</w:t>
      </w:r>
      <w:r>
        <w:rPr>
          <w:sz w:val="22"/>
        </w:rPr>
        <w:t>.  This Agreement may be executed in counterparts, each of which shall be an original, and such counterparts shall together constitute one instrument.</w:t>
      </w:r>
    </w:p>
    <w:p>
      <w:pPr>
        <w:pStyle w:val="Heading2"/>
        <w:numPr>
          <w:ilvl w:val="1"/>
          <w:numId w:val="11"/>
        </w:numPr>
        <w:tabs>
          <w:tab w:val="clear" w:pos="720"/>
          <w:tab w:val="left" w:pos="540" w:leader="none"/>
        </w:tabs>
        <w:spacing w:before="0" w:after="240"/>
        <w:ind w:firstLine="720" w:start="0" w:end="0"/>
        <w:rPr>
          <w:sz w:val="22"/>
        </w:rPr>
      </w:pPr>
      <w:r>
        <w:rPr>
          <w:b/>
          <w:sz w:val="22"/>
        </w:rPr>
        <w:t>Bargained for Bases</w:t>
      </w:r>
      <w:r>
        <w:rPr>
          <w:sz w:val="22"/>
        </w:rPr>
        <w:t xml:space="preserve">.  </w:t>
      </w:r>
      <w:r>
        <w:rPr>
          <w:caps/>
          <w:sz w:val="22"/>
        </w:rPr>
        <w:t>Each party recognizes and agrees that the warranty disclaimers and liability and remedy limitations in this Agreement are material bargained for bases of this Agreement and that they have been taken into account and reflected in determining the consideration to be given by each party under this Agreement and in the decision by each party to enter into this Agreement</w:t>
      </w:r>
      <w:r>
        <w:rPr>
          <w:sz w:val="22"/>
        </w:rPr>
        <w:t>.</w:t>
      </w:r>
    </w:p>
    <w:p>
      <w:pPr>
        <w:pStyle w:val="BodyText"/>
        <w:spacing w:before="0" w:after="120"/>
        <w:rPr>
          <w:sz w:val="22"/>
        </w:rPr>
      </w:pPr>
      <w:r>
        <w:rPr>
          <w:sz w:val="22"/>
        </w:rPr>
        <w:t>IN WITNESS WHEREOF, the parties have caused this Agreement to be executed as of the Effective Date set forth above.</w:t>
      </w:r>
    </w:p>
    <w:p>
      <w:pPr>
        <w:pStyle w:val="BodyText"/>
        <w:spacing w:before="0" w:after="120"/>
        <w:rPr>
          <w:sz w:val="22"/>
        </w:rPr>
      </w:pPr>
      <w:r>
        <w:rPr>
          <w:sz w:val="22"/>
        </w:rPr>
      </w:r>
    </w:p>
    <w:tbl>
      <w:tblPr>
        <w:tblW w:w="10584" w:type="dxa"/>
        <w:jc w:val="start"/>
        <w:tblInd w:w="0" w:type="dxa"/>
        <w:tblLayout w:type="fixed"/>
        <w:tblCellMar>
          <w:top w:w="0" w:type="dxa"/>
          <w:start w:w="108" w:type="dxa"/>
          <w:bottom w:w="0" w:type="dxa"/>
          <w:end w:w="108" w:type="dxa"/>
        </w:tblCellMar>
      </w:tblPr>
      <w:tblGrid>
        <w:gridCol w:w="5292"/>
        <w:gridCol w:w="5292"/>
      </w:tblGrid>
      <w:tr>
        <w:trPr/>
        <w:tc>
          <w:tcPr>
            <w:tcW w:w="5292" w:type="dxa"/>
            <w:tcBorders/>
          </w:tcPr>
          <w:p>
            <w:pPr>
              <w:pStyle w:val="BodyText"/>
              <w:spacing w:before="0" w:after="180"/>
              <w:ind w:hanging="0" w:end="0"/>
              <w:rPr>
                <w:sz w:val="22"/>
              </w:rPr>
            </w:pPr>
            <w:r>
              <w:rPr>
                <w:b/>
                <w:sz w:val="22"/>
              </w:rPr>
              <w:t>EC Outlook:</w:t>
            </w:r>
          </w:p>
        </w:tc>
        <w:tc>
          <w:tcPr>
            <w:tcW w:w="5292" w:type="dxa"/>
            <w:tcBorders/>
          </w:tcPr>
          <w:p>
            <w:pPr>
              <w:pStyle w:val="BodyText"/>
              <w:spacing w:before="0" w:after="180"/>
              <w:ind w:hanging="0" w:end="0"/>
              <w:rPr>
                <w:sz w:val="22"/>
              </w:rPr>
            </w:pPr>
            <w:r>
              <w:rPr>
                <w:b/>
                <w:sz w:val="22"/>
              </w:rPr>
              <w:t>Customer:</w:t>
            </w:r>
          </w:p>
        </w:tc>
      </w:tr>
      <w:tr>
        <w:trPr/>
        <w:tc>
          <w:tcPr>
            <w:tcW w:w="5292" w:type="dxa"/>
            <w:tcBorders/>
          </w:tcPr>
          <w:p>
            <w:pPr>
              <w:pStyle w:val="BodyText"/>
              <w:spacing w:before="0" w:after="180"/>
              <w:ind w:hanging="0" w:end="0"/>
              <w:rPr>
                <w:sz w:val="22"/>
              </w:rPr>
            </w:pPr>
            <w:r>
              <w:rPr>
                <w:sz w:val="22"/>
              </w:rPr>
              <w:t>By:</w:t>
              <w:tab/>
            </w:r>
            <w:r>
              <w:rPr>
                <w:sz w:val="22"/>
                <w:u w:val="single"/>
              </w:rPr>
              <w:tab/>
              <w:tab/>
              <w:tab/>
              <w:tab/>
              <w:tab/>
            </w:r>
          </w:p>
        </w:tc>
        <w:tc>
          <w:tcPr>
            <w:tcW w:w="5292" w:type="dxa"/>
            <w:tcBorders/>
          </w:tcPr>
          <w:p>
            <w:pPr>
              <w:pStyle w:val="BodyText"/>
              <w:spacing w:before="0" w:after="180"/>
              <w:ind w:hanging="0" w:end="0"/>
              <w:rPr>
                <w:sz w:val="22"/>
              </w:rPr>
            </w:pPr>
            <w:r>
              <w:rPr>
                <w:sz w:val="22"/>
              </w:rPr>
              <w:t>Signature:</w:t>
            </w:r>
            <w:r>
              <w:rPr>
                <w:sz w:val="22"/>
                <w:u w:val="single"/>
              </w:rPr>
              <w:tab/>
              <w:tab/>
              <w:tab/>
              <w:tab/>
              <w:tab/>
            </w:r>
          </w:p>
        </w:tc>
      </w:tr>
      <w:tr>
        <w:trPr/>
        <w:tc>
          <w:tcPr>
            <w:tcW w:w="5292" w:type="dxa"/>
            <w:tcBorders/>
          </w:tcPr>
          <w:p>
            <w:pPr>
              <w:pStyle w:val="BodyText"/>
              <w:spacing w:before="0" w:after="180"/>
              <w:ind w:hanging="0" w:end="0"/>
              <w:rPr/>
            </w:pPr>
            <w:r>
              <w:rPr>
                <w:sz w:val="22"/>
              </w:rPr>
              <w:tab/>
            </w:r>
            <w:r>
              <w:rPr>
                <w:sz w:val="22"/>
                <w:u w:val="single"/>
              </w:rPr>
              <w:tab/>
              <w:tab/>
              <w:tab/>
              <w:tab/>
              <w:tab/>
            </w:r>
            <w:r>
              <w:rPr>
                <w:sz w:val="22"/>
              </w:rPr>
              <w:br/>
              <w:tab/>
              <w:tab/>
              <w:t>(print name)</w:t>
            </w:r>
          </w:p>
        </w:tc>
        <w:tc>
          <w:tcPr>
            <w:tcW w:w="5292" w:type="dxa"/>
            <w:tcBorders/>
          </w:tcPr>
          <w:p>
            <w:pPr>
              <w:pStyle w:val="BodyText"/>
              <w:spacing w:before="0" w:after="0"/>
              <w:ind w:hanging="0" w:end="0"/>
              <w:rPr/>
            </w:pPr>
            <w:r>
              <w:rPr>
                <w:sz w:val="22"/>
              </w:rPr>
              <w:t>By:</w:t>
            </w:r>
            <w:r>
              <w:rPr>
                <w:sz w:val="22"/>
                <w:u w:val="single"/>
              </w:rPr>
              <w:tab/>
              <w:tab/>
              <w:tab/>
              <w:tab/>
              <w:tab/>
              <w:tab/>
            </w:r>
            <w:r>
              <w:rPr>
                <w:sz w:val="22"/>
              </w:rPr>
              <w:br/>
              <w:tab/>
              <w:tab/>
              <w:t>(print name)</w:t>
            </w:r>
          </w:p>
        </w:tc>
      </w:tr>
      <w:tr>
        <w:trPr/>
        <w:tc>
          <w:tcPr>
            <w:tcW w:w="5292" w:type="dxa"/>
            <w:tcBorders/>
          </w:tcPr>
          <w:p>
            <w:pPr>
              <w:pStyle w:val="BodyText"/>
              <w:spacing w:before="0" w:after="180"/>
              <w:ind w:hanging="0" w:end="0"/>
              <w:rPr/>
            </w:pPr>
            <w:r>
              <w:rPr>
                <w:sz w:val="22"/>
              </w:rPr>
              <w:t>Title:</w:t>
              <w:tab/>
            </w:r>
            <w:r>
              <w:rPr>
                <w:sz w:val="22"/>
                <w:u w:val="single"/>
              </w:rPr>
              <w:tab/>
              <w:tab/>
              <w:tab/>
              <w:tab/>
              <w:tab/>
            </w:r>
          </w:p>
        </w:tc>
        <w:tc>
          <w:tcPr>
            <w:tcW w:w="5292" w:type="dxa"/>
            <w:tcBorders/>
          </w:tcPr>
          <w:p>
            <w:pPr>
              <w:pStyle w:val="BodyText"/>
              <w:spacing w:before="0" w:after="180"/>
              <w:ind w:hanging="0" w:end="0"/>
              <w:rPr/>
            </w:pPr>
            <w:r>
              <w:rPr>
                <w:sz w:val="22"/>
              </w:rPr>
              <w:t>Title:</w:t>
            </w:r>
            <w:r>
              <w:rPr>
                <w:sz w:val="22"/>
                <w:u w:val="single"/>
              </w:rPr>
              <w:tab/>
              <w:tab/>
              <w:tab/>
              <w:tab/>
              <w:tab/>
              <w:tab/>
            </w:r>
          </w:p>
        </w:tc>
      </w:tr>
    </w:tbl>
    <w:p>
      <w:pPr>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pStyle w:val="Heading"/>
        <w:rPr>
          <w:i/>
          <w:i/>
          <w:sz w:val="24"/>
        </w:rPr>
      </w:pPr>
      <w:r>
        <w:rPr>
          <w:i/>
          <w:sz w:val="24"/>
        </w:rPr>
      </w:r>
    </w:p>
    <w:p>
      <w:pPr>
        <w:pStyle w:val="Heading"/>
        <w:rPr>
          <w:sz w:val="24"/>
        </w:rPr>
      </w:pPr>
      <w:r>
        <w:rPr>
          <w:sz w:val="24"/>
        </w:rPr>
        <w:t>EC OUTLOOK EDI OPERATING AGREEMENT</w:t>
      </w:r>
    </w:p>
    <w:p>
      <w:pPr>
        <w:pStyle w:val="Normal"/>
        <w:jc w:val="center"/>
        <w:rPr>
          <w:b/>
          <w:sz w:val="24"/>
        </w:rPr>
      </w:pPr>
      <w:r>
        <w:rPr>
          <w:b/>
          <w:sz w:val="24"/>
        </w:rPr>
        <w:t xml:space="preserve">SCHEDULE A </w:t>
      </w:r>
    </w:p>
    <w:p>
      <w:pPr>
        <w:pStyle w:val="Normal"/>
        <w:jc w:val="center"/>
        <w:rPr>
          <w:b/>
          <w:sz w:val="24"/>
        </w:rPr>
      </w:pPr>
      <w:r>
        <w:rPr>
          <w:b/>
          <w:sz w:val="24"/>
        </w:rPr>
      </w:r>
    </w:p>
    <w:p>
      <w:pPr>
        <w:pStyle w:val="Normal"/>
        <w:jc w:val="center"/>
        <w:rPr>
          <w:b/>
          <w:sz w:val="24"/>
        </w:rPr>
      </w:pPr>
      <w:r>
        <w:rPr>
          <w:b/>
          <w:sz w:val="24"/>
        </w:rPr>
        <w:t>PAYMENT SCHEDULE</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1"/>
        <w:numPr>
          <w:ilvl w:val="0"/>
          <w:numId w:val="13"/>
        </w:numPr>
        <w:jc w:val="start"/>
        <w:rPr>
          <w:rFonts w:ascii="Times New Roman" w:hAnsi="Times New Roman" w:cs="Times New Roman"/>
          <w:sz w:val="22"/>
        </w:rPr>
      </w:pPr>
      <w:r>
        <w:rPr>
          <w:rFonts w:cs="Times New Roman" w:ascii="Times New Roman" w:hAnsi="Times New Roman"/>
          <w:sz w:val="22"/>
          <w:u w:val="single"/>
        </w:rPr>
        <w:t>EC OUTLOOK PERSONNEL</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b/>
          <w:sz w:val="22"/>
        </w:rPr>
        <w:t>Initial Payment</w:t>
      </w:r>
      <w:r>
        <w:rPr>
          <w:sz w:val="22"/>
        </w:rPr>
        <w:t>.  In consideration of EC Outlook’s performance of the Services during the first twenty (20) months of the Service Period, Customer agrees to pay $625,000 to EC Outlook on the Effective Date.  The parties agree that this is an advance payment of monthly Operating Services Fees of  $31,250 for that period, and that Customer is to be considered an unsecured creditor of EC Outlook regarding advance payments it makes under this Agreement.</w:t>
      </w:r>
    </w:p>
    <w:p>
      <w:pPr>
        <w:pStyle w:val="Heading2"/>
        <w:numPr>
          <w:ilvl w:val="1"/>
          <w:numId w:val="11"/>
        </w:numPr>
        <w:tabs>
          <w:tab w:val="clear" w:pos="720"/>
          <w:tab w:val="left" w:pos="540" w:leader="none"/>
        </w:tabs>
        <w:spacing w:before="0" w:after="240"/>
        <w:ind w:firstLine="720" w:start="0" w:end="0"/>
        <w:rPr>
          <w:sz w:val="22"/>
        </w:rPr>
      </w:pPr>
      <w:r>
        <w:rPr>
          <w:b/>
          <w:sz w:val="22"/>
        </w:rPr>
        <w:t>Monthly Payments</w:t>
      </w:r>
      <w:r>
        <w:rPr>
          <w:sz w:val="22"/>
        </w:rPr>
        <w:t>.  Beginning with the end of the first twenty (20) months of the Service Period, and continuing for the remainder of the Initial Term, EC Outlook will invoice Customer monthly, in advance (“</w:t>
      </w:r>
      <w:r>
        <w:rPr>
          <w:b/>
          <w:i/>
          <w:sz w:val="22"/>
        </w:rPr>
        <w:t>Operating</w:t>
      </w:r>
      <w:r>
        <w:rPr>
          <w:sz w:val="22"/>
        </w:rPr>
        <w:t xml:space="preserve"> </w:t>
      </w:r>
      <w:r>
        <w:rPr>
          <w:b/>
          <w:i/>
          <w:sz w:val="22"/>
        </w:rPr>
        <w:t>Services Fee</w:t>
      </w:r>
      <w:r>
        <w:rPr/>
        <w:t>”).  The Operating Services Fee for a particular month shall be due on the first day of that month and shall be in the amount of $31,250 (i.e., corresponding to a total Operating Services Fee of $375,000 per year).  The Operating Services Fees during the Initial Term are summarized as follows:</w:t>
      </w:r>
    </w:p>
    <w:tbl>
      <w:tblPr>
        <w:tblW w:w="10125" w:type="dxa"/>
        <w:jc w:val="start"/>
        <w:tblInd w:w="-15" w:type="dxa"/>
        <w:tblLayout w:type="fixed"/>
        <w:tblCellMar>
          <w:top w:w="0" w:type="dxa"/>
          <w:start w:w="0" w:type="dxa"/>
          <w:bottom w:w="0" w:type="dxa"/>
          <w:end w:w="0" w:type="dxa"/>
        </w:tblCellMar>
      </w:tblPr>
      <w:tblGrid>
        <w:gridCol w:w="260"/>
        <w:gridCol w:w="2920"/>
        <w:gridCol w:w="3365"/>
        <w:gridCol w:w="2620"/>
        <w:gridCol w:w="960"/>
      </w:tblGrid>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u w:val="single"/>
              </w:rPr>
            </w:pPr>
            <w:r>
              <w:rPr>
                <w:u w:val="single"/>
              </w:rPr>
              <w:t>Operating Services Fee</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At Closing</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xml:space="preserve">$625,000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Service Date through Month 20</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xml:space="preserve">$0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Year 2:  Months 21-24</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xml:space="preserve">$125,000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Year 3:  Months 25 to Month 36</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xml:space="preserve">$375,000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Year 4:  Month 37 to Month 48</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xml:space="preserve">$375,000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Year 5:  Month 49 to Month 60</w:t>
            </w:r>
          </w:p>
        </w:tc>
        <w:tc>
          <w:tcPr>
            <w:tcW w:w="3365" w:type="dxa"/>
            <w:tcBorders/>
            <w:shd w:fill="FFFFFF" w:val="clear"/>
            <w:vAlign w:val="bottom"/>
          </w:tcPr>
          <w:p>
            <w:pPr>
              <w:pStyle w:val="Normal"/>
              <w:rPr>
                <w:rFonts w:eastAsia="Arial Unicode MS"/>
              </w:rPr>
            </w:pPr>
            <w:r>
              <w:rPr/>
              <w:t> </w:t>
            </w:r>
          </w:p>
        </w:tc>
        <w:tc>
          <w:tcPr>
            <w:tcW w:w="2620" w:type="dxa"/>
            <w:tcBorders>
              <w:bottom w:val="single" w:sz="4" w:space="0" w:color="000000"/>
            </w:tcBorders>
            <w:shd w:fill="FFFFFF" w:val="clear"/>
            <w:vAlign w:val="bottom"/>
          </w:tcPr>
          <w:p>
            <w:pPr>
              <w:pStyle w:val="Normal"/>
              <w:jc w:val="center"/>
              <w:rPr>
                <w:rFonts w:eastAsia="Arial Unicode MS"/>
              </w:rPr>
            </w:pPr>
            <w:r>
              <w:rPr/>
              <w:t xml:space="preserve">$375,000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rPr>
                <w:rFonts w:eastAsia="Arial Unicode MS"/>
              </w:rPr>
            </w:pPr>
            <w:r>
              <w:rPr/>
              <w:t> </w:t>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jc w:val="end"/>
              <w:rPr>
                <w:rFonts w:eastAsia="Arial Unicode MS"/>
              </w:rPr>
            </w:pPr>
            <w:r>
              <w:rPr/>
              <w:t>Total Operating Services Fee</w:t>
            </w:r>
          </w:p>
        </w:tc>
        <w:tc>
          <w:tcPr>
            <w:tcW w:w="2620" w:type="dxa"/>
            <w:tcBorders/>
            <w:shd w:fill="FFFFFF" w:val="clear"/>
            <w:vAlign w:val="bottom"/>
          </w:tcPr>
          <w:p>
            <w:pPr>
              <w:pStyle w:val="Normal"/>
              <w:jc w:val="center"/>
              <w:rPr>
                <w:rFonts w:eastAsia="Arial Unicode MS"/>
              </w:rPr>
            </w:pPr>
            <w:r>
              <w:rPr/>
              <w:t xml:space="preserve">$1,875,000 </w:t>
            </w:r>
          </w:p>
        </w:tc>
        <w:tc>
          <w:tcPr>
            <w:tcW w:w="960" w:type="dxa"/>
            <w:tcBorders/>
            <w:shd w:fill="FFFFFF" w:val="clear"/>
            <w:vAlign w:val="bottom"/>
          </w:tcPr>
          <w:p>
            <w:pPr>
              <w:pStyle w:val="Normal"/>
              <w:rPr>
                <w:rFonts w:eastAsia="Arial Unicode MS"/>
              </w:rPr>
            </w:pPr>
            <w:r>
              <w:rPr/>
              <w:t> </w:t>
            </w:r>
          </w:p>
        </w:tc>
      </w:tr>
      <w:tr>
        <w:trPr>
          <w:trHeight w:val="255" w:hRule="atLeast"/>
        </w:trPr>
        <w:tc>
          <w:tcPr>
            <w:tcW w:w="260" w:type="dxa"/>
            <w:tcBorders/>
            <w:shd w:fill="FFFFFF" w:val="clear"/>
            <w:vAlign w:val="bottom"/>
          </w:tcPr>
          <w:p>
            <w:pPr>
              <w:pStyle w:val="Normal"/>
              <w:snapToGrid w:val="false"/>
              <w:rPr>
                <w:rFonts w:eastAsia="Arial Unicode MS"/>
              </w:rPr>
            </w:pPr>
            <w:r>
              <w:rPr>
                <w:rFonts w:eastAsia="Arial Unicode MS"/>
              </w:rPr>
            </w:r>
          </w:p>
        </w:tc>
        <w:tc>
          <w:tcPr>
            <w:tcW w:w="2920" w:type="dxa"/>
            <w:tcBorders/>
            <w:shd w:fill="FFFFFF" w:val="clear"/>
            <w:vAlign w:val="bottom"/>
          </w:tcPr>
          <w:p>
            <w:pPr>
              <w:pStyle w:val="Normal"/>
              <w:rPr>
                <w:rFonts w:eastAsia="Arial Unicode MS"/>
              </w:rPr>
            </w:pPr>
            <w:r>
              <w:rPr/>
              <w:t> </w:t>
            </w:r>
          </w:p>
        </w:tc>
        <w:tc>
          <w:tcPr>
            <w:tcW w:w="3365" w:type="dxa"/>
            <w:tcBorders/>
            <w:shd w:fill="FFFFFF" w:val="clear"/>
            <w:vAlign w:val="bottom"/>
          </w:tcPr>
          <w:p>
            <w:pPr>
              <w:pStyle w:val="Normal"/>
              <w:rPr>
                <w:rFonts w:eastAsia="Arial Unicode MS"/>
              </w:rPr>
            </w:pPr>
            <w:r>
              <w:rPr/>
              <w:t> </w:t>
            </w:r>
          </w:p>
        </w:tc>
        <w:tc>
          <w:tcPr>
            <w:tcW w:w="2620" w:type="dxa"/>
            <w:tcBorders/>
            <w:shd w:fill="FFFFFF" w:val="clear"/>
            <w:vAlign w:val="bottom"/>
          </w:tcPr>
          <w:p>
            <w:pPr>
              <w:pStyle w:val="Normal"/>
              <w:jc w:val="center"/>
              <w:rPr>
                <w:rFonts w:eastAsia="Arial Unicode MS"/>
              </w:rPr>
            </w:pPr>
            <w:r>
              <w:rPr/>
              <w:t> </w:t>
            </w:r>
          </w:p>
        </w:tc>
        <w:tc>
          <w:tcPr>
            <w:tcW w:w="960" w:type="dxa"/>
            <w:tcBorders/>
            <w:shd w:fill="FFFFFF" w:val="clear"/>
            <w:vAlign w:val="bottom"/>
          </w:tcPr>
          <w:p>
            <w:pPr>
              <w:pStyle w:val="Normal"/>
              <w:rPr>
                <w:rFonts w:eastAsia="Arial Unicode MS"/>
              </w:rPr>
            </w:pPr>
            <w:r>
              <w:rPr/>
              <w:t> </w:t>
            </w:r>
          </w:p>
        </w:tc>
      </w:tr>
    </w:tbl>
    <w:p>
      <w:pPr>
        <w:pStyle w:val="Heading2"/>
        <w:numPr>
          <w:ilvl w:val="1"/>
          <w:numId w:val="11"/>
        </w:numPr>
        <w:tabs>
          <w:tab w:val="clear" w:pos="720"/>
          <w:tab w:val="left" w:pos="540" w:leader="none"/>
        </w:tabs>
        <w:spacing w:before="240" w:after="240"/>
        <w:ind w:firstLine="720" w:start="0" w:end="0"/>
        <w:rPr>
          <w:sz w:val="22"/>
        </w:rPr>
      </w:pPr>
      <w:r>
        <w:rPr>
          <w:b/>
          <w:sz w:val="22"/>
        </w:rPr>
        <w:t>Renewal Term</w:t>
      </w:r>
      <w:r>
        <w:rPr>
          <w:sz w:val="22"/>
        </w:rPr>
        <w:t>.  In consideration of EC Outlook’s agreement to perform the Services for a particular Renewal Term, Customer agrees to make payment (“</w:t>
      </w:r>
      <w:r>
        <w:rPr>
          <w:b/>
          <w:i/>
          <w:sz w:val="22"/>
        </w:rPr>
        <w:t>Renewal Term</w:t>
      </w:r>
      <w:r>
        <w:rPr>
          <w:sz w:val="22"/>
        </w:rPr>
        <w:t xml:space="preserve"> </w:t>
      </w:r>
      <w:r>
        <w:rPr>
          <w:b/>
          <w:i/>
          <w:sz w:val="22"/>
        </w:rPr>
        <w:t>Operating Services Fee</w:t>
      </w:r>
      <w:r>
        <w:rPr>
          <w:sz w:val="22"/>
        </w:rPr>
        <w:t>”) to EC Outlook as follows:</w:t>
      </w:r>
    </w:p>
    <w:p>
      <w:pPr>
        <w:pStyle w:val="Heading3"/>
        <w:numPr>
          <w:ilvl w:val="2"/>
          <w:numId w:val="11"/>
        </w:numPr>
        <w:tabs>
          <w:tab w:val="clear" w:pos="720"/>
        </w:tabs>
        <w:ind w:hanging="0" w:start="0"/>
        <w:rPr/>
      </w:pPr>
      <w:r>
        <w:rPr>
          <w:sz w:val="22"/>
        </w:rPr>
        <w:t>Payment is due on the first day of the Renewal Term; and</w:t>
      </w:r>
    </w:p>
    <w:p>
      <w:pPr>
        <w:pStyle w:val="Heading3"/>
        <w:numPr>
          <w:ilvl w:val="2"/>
          <w:numId w:val="11"/>
        </w:numPr>
        <w:tabs>
          <w:tab w:val="clear" w:pos="720"/>
        </w:tabs>
        <w:ind w:hanging="0" w:start="0"/>
        <w:rPr/>
      </w:pPr>
      <w:r>
        <w:rPr>
          <w:sz w:val="22"/>
        </w:rPr>
        <w:t>The amount of the Renewal Term Operating Services Fee shall be the greater of (i) the prior year’s annual Renewal Term Operating Services Fee (which for the first Renewal Term shall be taken to be $375,000), or (ii) the prior year’s Renewal Term Operating Services Fee increased by an amount corresponding to twice the inflation rate of the prior year (as measured by the Consumer’s Price Index (“CPI”)) (i.e., (Renewal Term Operating Services Fee)</w:t>
      </w:r>
      <w:r>
        <w:rPr>
          <w:sz w:val="22"/>
          <w:vertAlign w:val="subscript"/>
        </w:rPr>
        <w:t>Yr N</w:t>
      </w:r>
      <w:r>
        <w:rPr>
          <w:sz w:val="22"/>
        </w:rPr>
        <w:t xml:space="preserve"> = (Renewal Term Operating Services Fee)</w:t>
      </w:r>
      <w:r>
        <w:rPr>
          <w:sz w:val="22"/>
          <w:vertAlign w:val="subscript"/>
        </w:rPr>
        <w:t>Yr N-1</w:t>
      </w:r>
      <w:r>
        <w:rPr>
          <w:sz w:val="22"/>
        </w:rPr>
        <w:t xml:space="preserve"> x (1 + 2(CPI)</w:t>
      </w:r>
      <w:r>
        <w:rPr>
          <w:sz w:val="22"/>
          <w:vertAlign w:val="subscript"/>
        </w:rPr>
        <w:t>Yr N-1, as fraction</w:t>
      </w:r>
      <w:r>
        <w:rPr>
          <w:sz w:val="22"/>
        </w:rPr>
        <w:t>)).</w:t>
      </w:r>
    </w:p>
    <w:p>
      <w:pPr>
        <w:pStyle w:val="Heading1"/>
        <w:numPr>
          <w:ilvl w:val="0"/>
          <w:numId w:val="13"/>
        </w:numPr>
        <w:jc w:val="start"/>
        <w:rPr>
          <w:rFonts w:ascii="Times New Roman" w:hAnsi="Times New Roman" w:cs="Times New Roman"/>
          <w:sz w:val="22"/>
        </w:rPr>
      </w:pPr>
      <w:r>
        <w:rPr>
          <w:sz w:val="22"/>
          <w:u w:val="single"/>
        </w:rPr>
        <w:t>Additional Full-Time EC Outlook Professional</w:t>
      </w:r>
      <w:r>
        <w:rPr>
          <w:rFonts w:cs="Times New Roman" w:ascii="Times New Roman" w:hAnsi="Times New Roman"/>
          <w:sz w:val="22"/>
          <w:u w:val="single"/>
        </w:rPr>
        <w:t>s</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Any Additional Full-Time EC Outlook Professional will be billed to Customer on a monthly basis, in advance.  For purposes of this Agreement, an Additional Full-Time EC Outlook Professional will be a person who will provide Services for a minimum of one (1) year. The invoice amount will be based on EC Outlook’s total employment cost for each Additional Full-Time EC Outlook Professional plus fifteen percent (15%).</w:t>
      </w:r>
    </w:p>
    <w:p>
      <w:pPr>
        <w:pStyle w:val="Normal"/>
        <w:spacing w:before="0" w:after="240"/>
        <w:rPr>
          <w:sz w:val="19"/>
        </w:rPr>
      </w:pPr>
      <w:r>
        <w:rPr>
          <w:sz w:val="19"/>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360" w:charSpace="0"/>
        </w:sectPr>
      </w:pPr>
    </w:p>
    <w:p>
      <w:pPr>
        <w:sectPr>
          <w:type w:val="continuous"/>
          <w:pgSz w:w="12240" w:h="15840"/>
          <w:pgMar w:left="1440" w:right="1440" w:gutter="0" w:header="720" w:top="1440" w:footer="432" w:bottom="1440"/>
          <w:formProt w:val="false"/>
          <w:titlePg/>
          <w:textDirection w:val="lrTb"/>
          <w:docGrid w:type="default" w:linePitch="360" w:charSpace="0"/>
        </w:sectPr>
        <w:pStyle w:val="Heading"/>
        <w:numPr>
          <w:ilvl w:val="0"/>
          <w:numId w:val="0"/>
        </w:numPr>
        <w:rPr>
          <w:sz w:val="24"/>
        </w:rPr>
      </w:pPr>
      <w:r>
        <w:rPr>
          <w:sz w:val="24"/>
        </w:rPr>
      </w:r>
      <w:r>
        <w:br w:type="page"/>
      </w:r>
    </w:p>
    <w:p>
      <w:pPr>
        <w:pStyle w:val="Heading"/>
        <w:rPr>
          <w:sz w:val="24"/>
        </w:rPr>
      </w:pPr>
      <w:r>
        <w:rPr>
          <w:sz w:val="24"/>
        </w:rPr>
        <w:t>EC OUTLOOK EDI OPERATING AGREEMENT</w:t>
      </w:r>
    </w:p>
    <w:p>
      <w:pPr>
        <w:pStyle w:val="Normal"/>
        <w:jc w:val="center"/>
        <w:rPr>
          <w:b/>
          <w:sz w:val="24"/>
        </w:rPr>
      </w:pPr>
      <w:r>
        <w:rPr>
          <w:b/>
          <w:sz w:val="24"/>
        </w:rPr>
        <w:t xml:space="preserve">SCHEDULE B </w:t>
      </w:r>
    </w:p>
    <w:p>
      <w:pPr>
        <w:pStyle w:val="Normal"/>
        <w:jc w:val="center"/>
        <w:rPr>
          <w:b/>
          <w:sz w:val="24"/>
        </w:rPr>
      </w:pPr>
      <w:r>
        <w:rPr>
          <w:b/>
          <w:sz w:val="24"/>
        </w:rPr>
      </w:r>
    </w:p>
    <w:p>
      <w:pPr>
        <w:pStyle w:val="Normal"/>
        <w:jc w:val="center"/>
        <w:rPr>
          <w:b/>
        </w:rPr>
      </w:pPr>
      <w:r>
        <w:rPr>
          <w:b/>
          <w:sz w:val="24"/>
        </w:rPr>
        <w:t>SERVICES</w:t>
      </w:r>
    </w:p>
    <w:p>
      <w:pPr>
        <w:pStyle w:val="Normal"/>
        <w:jc w:val="center"/>
        <w:rPr>
          <w:b/>
        </w:rPr>
      </w:pPr>
      <w:r>
        <w:rPr>
          <w:b/>
        </w:rPr>
      </w:r>
    </w:p>
    <w:p>
      <w:pPr>
        <w:pStyle w:val="Heading1"/>
        <w:numPr>
          <w:ilvl w:val="0"/>
          <w:numId w:val="12"/>
        </w:numPr>
        <w:spacing w:before="0" w:after="240"/>
        <w:ind w:hanging="0" w:start="0" w:end="0"/>
        <w:jc w:val="start"/>
        <w:rPr>
          <w:rFonts w:ascii="Times New Roman" w:hAnsi="Times New Roman" w:cs="Times New Roman"/>
          <w:sz w:val="22"/>
        </w:rPr>
      </w:pPr>
      <w:r>
        <w:rPr>
          <w:rFonts w:cs="Times New Roman" w:ascii="Times New Roman" w:hAnsi="Times New Roman"/>
          <w:sz w:val="22"/>
          <w:u w:val="single"/>
        </w:rPr>
        <w:t>SERVICES.</w:t>
      </w:r>
    </w:p>
    <w:p>
      <w:pPr>
        <w:pStyle w:val="Heading2"/>
        <w:numPr>
          <w:ilvl w:val="1"/>
          <w:numId w:val="11"/>
        </w:numPr>
        <w:tabs>
          <w:tab w:val="clear" w:pos="720"/>
          <w:tab w:val="left" w:pos="540" w:leader="none"/>
        </w:tabs>
        <w:spacing w:before="0" w:after="240"/>
        <w:ind w:firstLine="720" w:start="0" w:end="0"/>
        <w:rPr>
          <w:sz w:val="22"/>
        </w:rPr>
      </w:pPr>
      <w:r>
        <w:rPr>
          <w:sz w:val="22"/>
        </w:rPr>
        <w:t>The following definition of Services will apply unless mutually modified in writing by the parties.</w:t>
      </w:r>
    </w:p>
    <w:p>
      <w:pPr>
        <w:pStyle w:val="Heading2"/>
        <w:numPr>
          <w:ilvl w:val="1"/>
          <w:numId w:val="11"/>
        </w:numPr>
        <w:tabs>
          <w:tab w:val="clear" w:pos="720"/>
        </w:tabs>
        <w:spacing w:before="0" w:after="240"/>
        <w:ind w:firstLine="720" w:start="0" w:end="0"/>
        <w:rPr>
          <w:sz w:val="22"/>
        </w:rPr>
      </w:pPr>
      <w:r>
        <w:rPr>
          <w:sz w:val="22"/>
        </w:rPr>
        <w:t>The EDI Operations Center staff (comprising EC Outlook’s employees and contractors and Customer’s employees and contractors) shall provide technical services by managing, designing (subject to Customer’s prior approval), installing, documenting, and maintaining the technical architecture of the EDI Test, Quality Assurance, and Production Hub computers, plus all other related EDI processing environments not specified herein.</w:t>
      </w:r>
    </w:p>
    <w:p>
      <w:pPr>
        <w:pStyle w:val="Heading2"/>
        <w:numPr>
          <w:ilvl w:val="1"/>
          <w:numId w:val="11"/>
        </w:numPr>
        <w:tabs>
          <w:tab w:val="clear" w:pos="720"/>
        </w:tabs>
        <w:spacing w:before="0" w:after="240"/>
        <w:ind w:firstLine="720" w:start="0" w:end="0"/>
        <w:rPr>
          <w:sz w:val="22"/>
        </w:rPr>
      </w:pPr>
      <w:r>
        <w:rPr>
          <w:sz w:val="22"/>
        </w:rPr>
        <w:t>The EDI Operations Center Staff will use commercially reasonable efforts to correct bugs, minor programming errors and other minor errors in the functionality of the EDI Technology.</w:t>
      </w:r>
    </w:p>
    <w:p>
      <w:pPr>
        <w:pStyle w:val="Heading2"/>
        <w:numPr>
          <w:ilvl w:val="1"/>
          <w:numId w:val="11"/>
        </w:numPr>
        <w:tabs>
          <w:tab w:val="clear" w:pos="720"/>
        </w:tabs>
        <w:spacing w:before="0" w:after="240"/>
        <w:ind w:firstLine="720" w:start="0" w:end="0"/>
        <w:rPr>
          <w:sz w:val="22"/>
        </w:rPr>
      </w:pPr>
      <w:r>
        <w:rPr>
          <w:sz w:val="22"/>
        </w:rPr>
        <w:t>The EDI Operations Center staff will manage, meaning to continuously monitor all processing activities, quickly respond to processing disruptions, and repair/resolve all hardware, software, and/or network problems that disrupt (or have the potential to disrupt) the flow of EDI transmissions (“files”) through the EDI Production Hub computer(s) on a 7 days per week, 24 hours per day basis, year round.</w:t>
      </w:r>
    </w:p>
    <w:p>
      <w:pPr>
        <w:pStyle w:val="Heading2"/>
        <w:numPr>
          <w:ilvl w:val="1"/>
          <w:numId w:val="11"/>
        </w:numPr>
        <w:tabs>
          <w:tab w:val="clear" w:pos="720"/>
        </w:tabs>
        <w:spacing w:before="0" w:after="240"/>
        <w:ind w:firstLine="720" w:start="0" w:end="0"/>
        <w:rPr>
          <w:sz w:val="22"/>
        </w:rPr>
      </w:pPr>
      <w:r>
        <w:rPr>
          <w:sz w:val="22"/>
        </w:rPr>
        <w:t>The EDI Operations Center staff will 1) work with and assist the EDI Systems Development/Production Systems Support staff in determining the cause(s) of all processing problems they may encounter in the EDI Test, EDI Quality Assurance, EDI Production Hub, or other related EDI processing environments not specified herein, 2) assist in stabilizing the affected EDI application system files when their help is sought by the EDI Systems Development/Production Systems Support staff, and 3) if the problem is an EDI Operations or infrastructure problem, fix the cause of the processing problem.  Note however that if the processing problem cannot be resolved at the EDI Operations level (such as repairing an application system map or changing the processing logic in the application system), the responsibility to correct the problem belongs to the EDI Systems Development/Production Systems Support staff.</w:t>
      </w:r>
    </w:p>
    <w:p>
      <w:pPr>
        <w:pStyle w:val="Heading2"/>
        <w:numPr>
          <w:ilvl w:val="1"/>
          <w:numId w:val="11"/>
        </w:numPr>
        <w:tabs>
          <w:tab w:val="clear" w:pos="720"/>
        </w:tabs>
        <w:spacing w:before="0" w:after="240"/>
        <w:ind w:firstLine="720" w:start="0" w:end="0"/>
        <w:rPr>
          <w:sz w:val="22"/>
        </w:rPr>
      </w:pPr>
      <w:r>
        <w:rPr>
          <w:sz w:val="22"/>
        </w:rPr>
        <w:t>The EDI Operations Center staff will acquaint and/or train all EDI Systems Development /Production Systems personnel and their business unit customers in the capabilities and proper use of the EDI Operations Center.</w:t>
      </w:r>
    </w:p>
    <w:p>
      <w:pPr>
        <w:pStyle w:val="Heading2"/>
        <w:numPr>
          <w:ilvl w:val="1"/>
          <w:numId w:val="11"/>
        </w:numPr>
        <w:tabs>
          <w:tab w:val="clear" w:pos="720"/>
        </w:tabs>
        <w:spacing w:before="0" w:after="240"/>
        <w:ind w:firstLine="720" w:start="0" w:end="0"/>
        <w:rPr>
          <w:sz w:val="22"/>
        </w:rPr>
      </w:pPr>
      <w:r>
        <w:rPr>
          <w:sz w:val="22"/>
        </w:rPr>
        <w:t>The EDI Operations Center staff will work with all EDI Systems Development/Production Systems Support personnel and Customer business unit personnel regarding the effective and timely processing of their business data, and regarding the addition of new functions or features to the EDI infrastructure systems that will improve everyone’s ability to use the EDI Operations environment.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start="0" w:fmt="decimal"/>
          <w:formProt w:val="false"/>
          <w:titlePg/>
          <w:textDirection w:val="lrTb"/>
          <w:docGrid w:type="default" w:linePitch="360" w:charSpace="0"/>
        </w:sectPr>
      </w:pPr>
    </w:p>
    <w:p>
      <w:pPr>
        <w:sectPr>
          <w:type w:val="continuous"/>
          <w:pgSz w:w="12240" w:h="15840"/>
          <w:pgMar w:left="1440" w:right="1440" w:gutter="0" w:header="720" w:top="1440" w:footer="432" w:bottom="1440"/>
          <w:formProt w:val="false"/>
          <w:titlePg/>
          <w:textDirection w:val="lrTb"/>
          <w:docGrid w:type="default" w:linePitch="360" w:charSpace="0"/>
        </w:sectPr>
        <w:pStyle w:val="Heading"/>
        <w:numPr>
          <w:ilvl w:val="0"/>
          <w:numId w:val="0"/>
        </w:numPr>
        <w:rPr>
          <w:sz w:val="24"/>
        </w:rPr>
      </w:pPr>
      <w:r>
        <w:rPr>
          <w:sz w:val="24"/>
        </w:rPr>
      </w:r>
      <w:r>
        <w:br w:type="page"/>
      </w:r>
    </w:p>
    <w:p>
      <w:pPr>
        <w:pStyle w:val="Heading"/>
        <w:rPr>
          <w:sz w:val="24"/>
        </w:rPr>
      </w:pPr>
      <w:r>
        <w:rPr>
          <w:sz w:val="24"/>
        </w:rPr>
        <w:t>EC OUTLOOK EDI OPERATING AGREEMENT</w:t>
      </w:r>
    </w:p>
    <w:p>
      <w:pPr>
        <w:pStyle w:val="Normal"/>
        <w:jc w:val="center"/>
        <w:rPr>
          <w:b/>
          <w:sz w:val="24"/>
        </w:rPr>
      </w:pPr>
      <w:r>
        <w:rPr>
          <w:b/>
          <w:sz w:val="24"/>
        </w:rPr>
        <w:t xml:space="preserve">SCHEDULE C </w:t>
      </w:r>
    </w:p>
    <w:p>
      <w:pPr>
        <w:pStyle w:val="Normal"/>
        <w:jc w:val="center"/>
        <w:rPr>
          <w:b/>
          <w:sz w:val="24"/>
        </w:rPr>
      </w:pPr>
      <w:r>
        <w:rPr>
          <w:b/>
          <w:sz w:val="24"/>
        </w:rPr>
      </w:r>
    </w:p>
    <w:p>
      <w:pPr>
        <w:pStyle w:val="Normal"/>
        <w:jc w:val="center"/>
        <w:rPr>
          <w:b/>
          <w:sz w:val="24"/>
        </w:rPr>
      </w:pPr>
      <w:r>
        <w:rPr>
          <w:b/>
          <w:sz w:val="24"/>
        </w:rPr>
        <w:t>PROFESSIONAL SERVICES RATES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360" w:leader="none"/>
              </w:tabs>
              <w:spacing w:before="120" w:after="120"/>
              <w:ind w:hanging="0" w:end="0"/>
              <w:rPr>
                <w:b/>
                <w:sz w:val="22"/>
              </w:rPr>
            </w:pPr>
            <w:r>
              <w:rPr>
                <w:b/>
                <w:sz w:val="22"/>
              </w:rPr>
              <w:tab/>
              <w:t>EC Outlook Personnel Classification</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b/>
                <w:sz w:val="22"/>
              </w:rPr>
            </w:pPr>
            <w:r>
              <w:rPr>
                <w:b/>
                <w:sz w:val="22"/>
              </w:rPr>
              <w:t>EC Outlook Billing Rate Per Hour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Project Manager</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$200.00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Contract Programmer</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$200.00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Account Manager</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$200.00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Core Product Developer</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$150.00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Web Developer</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$125.00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Integration Specialist</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$125.00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Communications Specialist</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$125.00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Database Specialist</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$125.00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Quality Assurance</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$100.00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Support Analyst</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$100.00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rPr>
                <w:sz w:val="22"/>
              </w:rPr>
            </w:pPr>
            <w:r>
              <w:rPr>
                <w:sz w:val="22"/>
              </w:rPr>
              <w:tab/>
              <w:t>Community Management</w:t>
            </w:r>
          </w:p>
        </w:tc>
        <w:tc>
          <w:tcPr>
            <w:tcW w:w="4788" w:type="dxa"/>
            <w:tcBorders>
              <w:top w:val="single" w:sz="4" w:space="0" w:color="000000"/>
              <w:start w:val="single" w:sz="4" w:space="0" w:color="000000"/>
              <w:bottom w:val="single" w:sz="4" w:space="0" w:color="000000"/>
              <w:end w:val="single" w:sz="4" w:space="0" w:color="000000"/>
            </w:tcBorders>
          </w:tcPr>
          <w:p>
            <w:pPr>
              <w:pStyle w:val="BodyText"/>
              <w:spacing w:before="120" w:after="120"/>
              <w:ind w:hanging="0" w:end="0"/>
              <w:jc w:val="center"/>
              <w:rPr>
                <w:sz w:val="22"/>
              </w:rPr>
            </w:pPr>
            <w:r>
              <w:rPr>
                <w:sz w:val="22"/>
              </w:rPr>
              <w:t>$100.00</w:t>
            </w:r>
          </w:p>
        </w:tc>
      </w:tr>
    </w:tbl>
    <w:p>
      <w:pPr>
        <w:pStyle w:val="BodyText"/>
        <w:rPr/>
      </w:pPr>
      <w:r>
        <w:rPr/>
      </w:r>
    </w:p>
    <w:p>
      <w:pPr>
        <w:pStyle w:val="Heading2"/>
        <w:numPr>
          <w:ilvl w:val="0"/>
          <w:numId w:val="0"/>
        </w:numPr>
        <w:spacing w:before="0" w:after="240"/>
        <w:ind w:hanging="0" w:start="0"/>
        <w:rPr>
          <w:sz w:val="22"/>
        </w:rPr>
      </w:pPr>
      <w:r>
        <w:rPr>
          <w:sz w:val="22"/>
        </w:rPr>
        <w:tab/>
        <w:t>Customer reserves the right to allow Customer’s individual business units the option to negotiate services agreements directly with EC Outlook for individual projects at skill rates other than those specified in this Agreement, or to negotiate their own fixed-price project agreements, or to hire their own EDI systems development/production support personnel (i.e., employees or other third party contractors).  Any such services agreement shall be in writing and executed by both parties hereto in advance of the start of the project.  EC Outlook shall maintain copies of all such agreements; and shortly following the execution of such agreements, EC Outlook will provide copies to the management person in the Customer’s business unit management serving as the project sponsor, and to Customer’s director of EDI operations.</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432" w:bottom="1440"/>
          <w:pgNumType w:start="0" w:fmt="decimal"/>
          <w:formProt w:val="false"/>
          <w:titlePg/>
          <w:textDirection w:val="lrTb"/>
          <w:docGrid w:type="default" w:linePitch="360" w:charSpace="0"/>
        </w:sectPr>
      </w:pPr>
    </w:p>
    <w:p>
      <w:pPr>
        <w:pStyle w:val="BodyText"/>
        <w:rPr>
          <w:sz w:val="24"/>
        </w:rPr>
      </w:pPr>
      <w:r>
        <w:rPr>
          <w:sz w:val="24"/>
        </w:rPr>
      </w:r>
    </w:p>
    <w:p>
      <w:pPr>
        <w:pStyle w:val="BodyText"/>
        <w:rPr/>
      </w:pPr>
      <w:r>
        <w:rPr/>
      </w:r>
    </w:p>
    <w:p>
      <w:pPr>
        <w:sectPr>
          <w:type w:val="continuous"/>
          <w:pgSz w:w="12240" w:h="15840"/>
          <w:pgMar w:left="1440" w:right="1440" w:gutter="0" w:header="720" w:top="1440" w:footer="432" w:bottom="1440"/>
          <w:formProt w:val="false"/>
          <w:titlePg/>
          <w:textDirection w:val="lrTb"/>
          <w:docGrid w:type="default" w:linePitch="360" w:charSpace="0"/>
        </w:sectPr>
      </w:pPr>
    </w:p>
    <w:p>
      <w:pPr>
        <w:pStyle w:val="Heading"/>
        <w:rPr>
          <w:sz w:val="24"/>
        </w:rPr>
      </w:pPr>
      <w:r>
        <w:rPr>
          <w:sz w:val="24"/>
        </w:rPr>
        <w:t>EC OUTLOOK EDI OPERATING AGREEMENT</w:t>
      </w:r>
    </w:p>
    <w:p>
      <w:pPr>
        <w:pStyle w:val="Normal"/>
        <w:jc w:val="center"/>
        <w:rPr>
          <w:b/>
          <w:sz w:val="24"/>
        </w:rPr>
      </w:pPr>
      <w:r>
        <w:rPr>
          <w:b/>
          <w:sz w:val="24"/>
        </w:rPr>
        <w:t>SCHEDULE D</w:t>
      </w:r>
    </w:p>
    <w:p>
      <w:pPr>
        <w:pStyle w:val="Normal"/>
        <w:jc w:val="center"/>
        <w:rPr>
          <w:b/>
          <w:sz w:val="24"/>
        </w:rPr>
      </w:pPr>
      <w:r>
        <w:rPr>
          <w:b/>
          <w:sz w:val="24"/>
        </w:rPr>
      </w:r>
    </w:p>
    <w:p>
      <w:pPr>
        <w:pStyle w:val="Normal"/>
        <w:jc w:val="center"/>
        <w:rPr>
          <w:b/>
          <w:sz w:val="24"/>
        </w:rPr>
      </w:pPr>
      <w:r>
        <w:rPr>
          <w:b/>
          <w:sz w:val="24"/>
        </w:rPr>
        <w:t>CUSTOMER’S HARDWARE AND FACILITIES</w:t>
      </w:r>
    </w:p>
    <w:p>
      <w:pPr>
        <w:pStyle w:val="Normal"/>
        <w:jc w:val="center"/>
        <w:rPr>
          <w:b/>
          <w:sz w:val="24"/>
        </w:rPr>
      </w:pPr>
      <w:r>
        <w:rPr>
          <w:b/>
          <w:sz w:val="24"/>
        </w:rPr>
      </w:r>
    </w:p>
    <w:p>
      <w:pPr>
        <w:pStyle w:val="Heading1"/>
        <w:numPr>
          <w:ilvl w:val="0"/>
          <w:numId w:val="15"/>
        </w:numPr>
        <w:jc w:val="both"/>
        <w:rPr>
          <w:rFonts w:ascii="Times New Roman" w:hAnsi="Times New Roman" w:cs="Times New Roman"/>
          <w:sz w:val="22"/>
        </w:rPr>
      </w:pPr>
      <w:r>
        <w:rPr>
          <w:rFonts w:cs="Times New Roman" w:ascii="Times New Roman" w:hAnsi="Times New Roman"/>
          <w:sz w:val="22"/>
          <w:u w:val="single"/>
        </w:rPr>
        <w:t>background</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The descriptions provided herein are based on information provided by Customer.  Customer agrees that EC Outlook’s performance under this Agreement is excused to the extent that the descriptions in fact vary from this information and thereby cause problems.</w:t>
      </w:r>
    </w:p>
    <w:p>
      <w:pPr>
        <w:pStyle w:val="Heading1"/>
        <w:numPr>
          <w:ilvl w:val="0"/>
          <w:numId w:val="11"/>
        </w:numPr>
        <w:ind w:hanging="0" w:start="0"/>
        <w:jc w:val="both"/>
        <w:rPr>
          <w:rFonts w:ascii="Times New Roman" w:hAnsi="Times New Roman" w:cs="Times New Roman"/>
          <w:sz w:val="22"/>
        </w:rPr>
      </w:pPr>
      <w:r>
        <w:rPr>
          <w:rFonts w:cs="Times New Roman" w:ascii="Times New Roman" w:hAnsi="Times New Roman"/>
          <w:sz w:val="22"/>
          <w:u w:val="single"/>
        </w:rPr>
        <w:t>CUSTOMER’S HARDWARE</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 xml:space="preserve">Customer describes Customer’s Hardware as shown on the following pages of this </w:t>
      </w:r>
      <w:r>
        <w:rPr>
          <w:sz w:val="22"/>
          <w:u w:val="single"/>
        </w:rPr>
        <w:t>Schedule D</w:t>
      </w:r>
      <w:r>
        <w:rPr>
          <w:sz w:val="22"/>
        </w:rPr>
        <w:t>.</w:t>
      </w:r>
    </w:p>
    <w:p>
      <w:pPr>
        <w:pStyle w:val="Heading1"/>
        <w:numPr>
          <w:ilvl w:val="0"/>
          <w:numId w:val="11"/>
        </w:numPr>
        <w:ind w:hanging="0" w:start="0"/>
        <w:jc w:val="both"/>
        <w:rPr>
          <w:rFonts w:ascii="Times New Roman" w:hAnsi="Times New Roman" w:cs="Times New Roman"/>
          <w:sz w:val="22"/>
        </w:rPr>
      </w:pPr>
      <w:r>
        <w:rPr>
          <w:rFonts w:cs="Times New Roman" w:ascii="Times New Roman" w:hAnsi="Times New Roman"/>
          <w:sz w:val="22"/>
          <w:u w:val="single"/>
        </w:rPr>
        <w:t>CUSTOMER’S FACILITIES</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Customer describes Customer’s EDI Operations Center  as located in the Enron Building located at 1400 Smith Street, Houston, Texas 77002 unless moved to a different location per agreement between the parties.</w:t>
      </w:r>
      <w:r>
        <w:br w:type="page"/>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docGrid w:type="default" w:linePitch="360" w:charSpace="0"/>
        </w:sectPr>
        <w:pStyle w:val="BodyText"/>
        <w:rPr>
          <w:sz w:val="22"/>
          <w:lang w:val="en-CA" w:eastAsia="en-CA"/>
        </w:rPr>
      </w:pPr>
      <w:r>
        <w:rPr>
          <w:sz w:val="22"/>
          <w:lang w:val="en-CA" w:eastAsia="en-CA"/>
        </w:rPr>
        <w:drawing>
          <wp:anchor behindDoc="0" distT="0" distB="0" distL="114935" distR="114935" simplePos="0" locked="0" layoutInCell="1" allowOverlap="1" relativeHeight="3">
            <wp:simplePos x="0" y="0"/>
            <wp:positionH relativeFrom="column">
              <wp:posOffset>-635000</wp:posOffset>
            </wp:positionH>
            <wp:positionV relativeFrom="paragraph">
              <wp:posOffset>342900</wp:posOffset>
            </wp:positionV>
            <wp:extent cx="7214870" cy="748347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6"/>
                    <a:srcRect l="-4" t="-4" r="-4" b="-4"/>
                    <a:stretch>
                      <a:fillRect/>
                    </a:stretch>
                  </pic:blipFill>
                  <pic:spPr bwMode="auto">
                    <a:xfrm>
                      <a:off x="0" y="0"/>
                      <a:ext cx="7214870" cy="7483475"/>
                    </a:xfrm>
                    <a:prstGeom prst="rect">
                      <a:avLst/>
                    </a:prstGeom>
                    <a:noFill/>
                  </pic:spPr>
                </pic:pic>
              </a:graphicData>
            </a:graphic>
          </wp:anchor>
        </w:drawing>
      </w:r>
    </w:p>
    <w:p>
      <w:pPr>
        <w:sectPr>
          <w:headerReference w:type="default" r:id="rId23"/>
          <w:headerReference w:type="first" r:id="rId24"/>
          <w:footerReference w:type="default" r:id="rId25"/>
          <w:footerReference w:type="first" r:id="rId26"/>
          <w:type w:val="oddPage"/>
          <w:pgSz w:orient="landscape" w:w="15840" w:h="12240"/>
          <w:pgMar w:left="720" w:right="720" w:gutter="0" w:header="720" w:top="776" w:footer="432" w:bottom="720"/>
          <w:pgNumType w:start="1" w:fmt="decimal"/>
          <w:formProt w:val="false"/>
          <w:titlePg/>
          <w:textDirection w:val="lrTb"/>
          <w:docGrid w:type="default" w:linePitch="360" w:charSpace="0"/>
        </w:sectPr>
        <w:pStyle w:val="Normal"/>
        <w:rPr/>
      </w:pPr>
      <w:r>
        <w:rPr/>
        <w:object w:dxaOrig="14307" w:dyaOrig="11191">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712.4pt;height:460.7pt" filled="f" o:ole="">
            <v:imagedata r:id="rId22" o:title=""/>
          </v:shape>
          <o:OLEObject Type="Embed" ProgID="" ShapeID="ole_rId21" DrawAspect="Content" ObjectID="_1179895127" r:id="rId21"/>
        </w:object>
      </w:r>
    </w:p>
    <w:p>
      <w:pPr>
        <w:pStyle w:val="BodyText"/>
        <w:rPr/>
      </w:pPr>
      <w:r>
        <w:rPr/>
      </w:r>
    </w:p>
    <w:p>
      <w:pPr>
        <w:pStyle w:val="Heading"/>
        <w:rPr>
          <w:sz w:val="24"/>
        </w:rPr>
      </w:pPr>
      <w:r>
        <w:rPr>
          <w:sz w:val="24"/>
        </w:rPr>
        <w:t>EC OUTLOOK EDI OPERATING AGREEMENT</w:t>
      </w:r>
    </w:p>
    <w:p>
      <w:pPr>
        <w:pStyle w:val="Normal"/>
        <w:jc w:val="center"/>
        <w:rPr>
          <w:b/>
          <w:sz w:val="24"/>
        </w:rPr>
      </w:pPr>
      <w:r>
        <w:rPr>
          <w:b/>
          <w:sz w:val="24"/>
        </w:rPr>
        <w:t>SCHEDULE E</w:t>
      </w:r>
    </w:p>
    <w:p>
      <w:pPr>
        <w:pStyle w:val="Normal"/>
        <w:jc w:val="center"/>
        <w:rPr>
          <w:b/>
          <w:sz w:val="24"/>
        </w:rPr>
      </w:pPr>
      <w:r>
        <w:rPr>
          <w:b/>
          <w:sz w:val="24"/>
        </w:rPr>
      </w:r>
    </w:p>
    <w:p>
      <w:pPr>
        <w:pStyle w:val="Normal"/>
        <w:jc w:val="center"/>
        <w:rPr>
          <w:b/>
          <w:sz w:val="24"/>
        </w:rPr>
      </w:pPr>
      <w:r>
        <w:rPr>
          <w:b/>
          <w:sz w:val="24"/>
        </w:rPr>
        <w:t>CONNECTIVITY SERVICES AND THIRD PARTY SOFTWARE</w:t>
      </w:r>
    </w:p>
    <w:p>
      <w:pPr>
        <w:pStyle w:val="Normal"/>
        <w:jc w:val="center"/>
        <w:rPr>
          <w:b/>
          <w:sz w:val="24"/>
        </w:rPr>
      </w:pPr>
      <w:r>
        <w:rPr>
          <w:b/>
          <w:sz w:val="24"/>
        </w:rPr>
      </w:r>
    </w:p>
    <w:p>
      <w:pPr>
        <w:pStyle w:val="Heading1"/>
        <w:numPr>
          <w:ilvl w:val="0"/>
          <w:numId w:val="14"/>
        </w:numPr>
        <w:jc w:val="both"/>
        <w:rPr>
          <w:rFonts w:ascii="Times New Roman" w:hAnsi="Times New Roman" w:cs="Times New Roman"/>
          <w:sz w:val="22"/>
        </w:rPr>
      </w:pPr>
      <w:r>
        <w:rPr>
          <w:rFonts w:cs="Times New Roman" w:ascii="Times New Roman" w:hAnsi="Times New Roman"/>
          <w:sz w:val="22"/>
          <w:u w:val="single"/>
        </w:rPr>
        <w:t>BACKGROUND</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The descriptions provided herein are based on information provided by Customer.  Customer agrees that EC Outlook’s performance under this Agreement is excused to the extent that the descriptions in fact vary from this information and thereby cause problems.</w:t>
      </w:r>
    </w:p>
    <w:p>
      <w:pPr>
        <w:pStyle w:val="Heading1"/>
        <w:numPr>
          <w:ilvl w:val="0"/>
          <w:numId w:val="14"/>
        </w:numPr>
        <w:jc w:val="both"/>
        <w:rPr>
          <w:rFonts w:ascii="Times New Roman" w:hAnsi="Times New Roman" w:cs="Times New Roman"/>
          <w:sz w:val="22"/>
        </w:rPr>
      </w:pPr>
      <w:r>
        <w:rPr>
          <w:rFonts w:cs="Times New Roman" w:ascii="Times New Roman" w:hAnsi="Times New Roman"/>
          <w:sz w:val="22"/>
          <w:u w:val="single"/>
        </w:rPr>
        <w:t>CONNECTIVITY SERVICES</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drawing>
          <wp:anchor behindDoc="0" distT="0" distB="0" distL="114935" distR="114935" simplePos="0" locked="0" layoutInCell="1" allowOverlap="1" relativeHeight="4">
            <wp:simplePos x="0" y="0"/>
            <wp:positionH relativeFrom="column">
              <wp:posOffset>-731520</wp:posOffset>
            </wp:positionH>
            <wp:positionV relativeFrom="paragraph">
              <wp:posOffset>299720</wp:posOffset>
            </wp:positionV>
            <wp:extent cx="7346950" cy="214185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7"/>
                    <a:srcRect l="-5" t="-17" r="-5" b="-17"/>
                    <a:stretch>
                      <a:fillRect/>
                    </a:stretch>
                  </pic:blipFill>
                  <pic:spPr bwMode="auto">
                    <a:xfrm>
                      <a:off x="0" y="0"/>
                      <a:ext cx="7346950" cy="2141855"/>
                    </a:xfrm>
                    <a:prstGeom prst="rect">
                      <a:avLst/>
                    </a:prstGeom>
                    <a:noFill/>
                  </pic:spPr>
                </pic:pic>
              </a:graphicData>
            </a:graphic>
          </wp:anchor>
        </w:drawing>
      </w:r>
      <w:r>
        <w:rPr>
          <w:sz w:val="22"/>
        </w:rPr>
        <w:t>Customer describes the Connectivity Services as follows:</w:t>
      </w:r>
    </w:p>
    <w:p>
      <w:pPr>
        <w:pStyle w:val="BodyText"/>
        <w:rPr>
          <w:sz w:val="22"/>
        </w:rPr>
      </w:pPr>
      <w:r>
        <w:rPr>
          <w:sz w:val="22"/>
        </w:rPr>
      </w:r>
    </w:p>
    <w:p>
      <w:pPr>
        <w:pStyle w:val="Heading2"/>
        <w:numPr>
          <w:ilvl w:val="1"/>
          <w:numId w:val="11"/>
        </w:numPr>
        <w:tabs>
          <w:tab w:val="clear" w:pos="720"/>
          <w:tab w:val="left" w:pos="540" w:leader="none"/>
        </w:tabs>
        <w:spacing w:before="0" w:after="240"/>
        <w:ind w:firstLine="720" w:start="0" w:end="0"/>
        <w:rPr>
          <w:sz w:val="22"/>
        </w:rPr>
      </w:pPr>
      <w:r>
        <w:rPr>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Heading1"/>
        <w:numPr>
          <w:ilvl w:val="0"/>
          <w:numId w:val="14"/>
        </w:numPr>
        <w:jc w:val="both"/>
        <w:rPr>
          <w:rFonts w:ascii="Times New Roman" w:hAnsi="Times New Roman" w:cs="Times New Roman"/>
          <w:sz w:val="22"/>
        </w:rPr>
      </w:pPr>
      <w:r>
        <w:rPr>
          <w:rFonts w:cs="Times New Roman" w:ascii="Times New Roman" w:hAnsi="Times New Roman"/>
          <w:sz w:val="22"/>
          <w:u w:val="single"/>
        </w:rPr>
        <w:t>THIRD PARTY SOFTWARE</w:t>
      </w:r>
      <w:r>
        <w:rPr>
          <w:rFonts w:cs="Times New Roman" w:ascii="Times New Roman" w:hAnsi="Times New Roman"/>
          <w:sz w:val="22"/>
        </w:rPr>
        <w:t>.</w:t>
      </w:r>
    </w:p>
    <w:p>
      <w:pPr>
        <w:pStyle w:val="Heading2"/>
        <w:numPr>
          <w:ilvl w:val="1"/>
          <w:numId w:val="11"/>
        </w:numPr>
        <w:tabs>
          <w:tab w:val="clear" w:pos="720"/>
          <w:tab w:val="left" w:pos="540" w:leader="none"/>
        </w:tabs>
        <w:spacing w:before="0" w:after="240"/>
        <w:ind w:firstLine="720" w:start="0" w:end="0"/>
        <w:rPr>
          <w:sz w:val="22"/>
        </w:rPr>
      </w:pPr>
      <w:r>
        <w:rPr>
          <w:sz w:val="22"/>
        </w:rPr>
        <w:t xml:space="preserve">Customer describes the third party software using the figure shown on the following page(s) of this </w:t>
      </w:r>
      <w:r>
        <w:rPr>
          <w:sz w:val="22"/>
          <w:u w:val="single"/>
        </w:rPr>
        <w:t>Schedule E</w:t>
      </w:r>
      <w:r>
        <w:rPr>
          <w:sz w:val="22"/>
        </w:rPr>
        <w:t>.</w:t>
      </w:r>
      <w:r>
        <w:br w:type="page"/>
      </w:r>
    </w:p>
    <w:p>
      <w:pPr>
        <w:pStyle w:val="BodyText"/>
        <w:spacing w:before="0" w:after="200"/>
        <w:rPr>
          <w:sz w:val="22"/>
          <w:lang w:val="en-CA" w:eastAsia="en-CA"/>
        </w:rPr>
      </w:pPr>
      <w:r>
        <w:rPr>
          <w:sz w:val="22"/>
          <w:lang w:val="en-CA" w:eastAsia="en-CA"/>
        </w:rPr>
        <w:drawing>
          <wp:anchor behindDoc="0" distT="0" distB="0" distL="114935" distR="114935" simplePos="0" locked="0" layoutInCell="1" allowOverlap="1" relativeHeight="5">
            <wp:simplePos x="0" y="0"/>
            <wp:positionH relativeFrom="column">
              <wp:posOffset>-228600</wp:posOffset>
            </wp:positionH>
            <wp:positionV relativeFrom="paragraph">
              <wp:posOffset>-274320</wp:posOffset>
            </wp:positionV>
            <wp:extent cx="5970905" cy="829310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28"/>
                    <a:srcRect l="-5" t="-4" r="-5" b="-4"/>
                    <a:stretch>
                      <a:fillRect/>
                    </a:stretch>
                  </pic:blipFill>
                  <pic:spPr bwMode="auto">
                    <a:xfrm>
                      <a:off x="0" y="0"/>
                      <a:ext cx="5970905" cy="8293100"/>
                    </a:xfrm>
                    <a:prstGeom prst="rect">
                      <a:avLst/>
                    </a:prstGeom>
                    <a:noFill/>
                  </pic:spPr>
                </pic:pic>
              </a:graphicData>
            </a:graphic>
          </wp:anchor>
        </w:drawing>
      </w:r>
    </w:p>
    <w:sectPr>
      <w:headerReference w:type="default" r:id="rId29"/>
      <w:headerReference w:type="first" r:id="rId30"/>
      <w:footerReference w:type="default" r:id="rId31"/>
      <w:footerReference w:type="first" r:id="rId32"/>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Schedule D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D -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rPr>
      <w:t>AUSLIB1\JC0\109153</w:t>
    </w:r>
  </w:p>
  <w:p>
    <w:pPr>
      <w:pStyle w:val="Footer"/>
      <w:jc w:val="center"/>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D - </w:t>
    </w:r>
    <w:r>
      <w:rPr>
        <w:rStyle w:val="PageNumber"/>
      </w:rPr>
      <w:t>3</w:t>
    </w:r>
  </w:p>
  <w:p>
    <w:pPr>
      <w:pStyle w:val="Footer"/>
      <w:rPr>
        <w:sz w:val="16"/>
      </w:rPr>
    </w:pPr>
    <w:r>
      <w:rPr>
        <w:rStyle w:val="PageNumber"/>
        <w:sz w:val="12"/>
      </w:rPr>
      <w:t>AUSLIB1\JC0\109153</w:t>
    </w:r>
  </w:p>
  <w:p>
    <w:pPr>
      <w:pStyle w:val="Footer"/>
      <w:jc w:val="cen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Schedule E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Schedule E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2"/>
      </w:rPr>
      <w:t>AUSLIB1\JC0\109153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rStyle w:val="PageNumber"/>
        <w:sz w:val="12"/>
      </w:rPr>
      <w:t>AUSLIB1\JC0\109153</w: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2"/>
      </w:rPr>
      <w:t>AUSLIB1\JC0\109153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B -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rPr>
      <w:t>AUSLIB1\JC0\109153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Schedule C -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rPr>
      <w:t>AUSLIB1\JC0\109153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Schedule D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rStyle w:val="PageNumber"/>
        <w:sz w:val="12"/>
      </w:rPr>
      <w:t>AUSLIB1\JC0\109153</w:t>
    </w:r>
  </w:p>
  <w:p>
    <w:pPr>
      <w:pStyle w:val="Footer"/>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360" w:hanging="360"/>
      </w:pPr>
      <w:rPr>
        <w:color w:val="000000"/>
      </w:rPr>
    </w:lvl>
    <w:lvl w:ilvl="1">
      <w:start w:val="1"/>
      <w:numFmt w:val="upperLetter"/>
      <w:lvlText w:val="%2."/>
      <w:lvlJc w:val="start"/>
      <w:pPr>
        <w:tabs>
          <w:tab w:val="num" w:pos="1080"/>
        </w:tabs>
        <w:ind w:start="720" w:hanging="0"/>
      </w:pPr>
      <w:rPr>
        <w:color w:val="000000"/>
      </w:rPr>
    </w:lvl>
    <w:lvl w:ilvl="2">
      <w:start w:val="1"/>
      <w:numFmt w:val="decimal"/>
      <w:lvlText w:val="%3."/>
      <w:lvlJc w:val="start"/>
      <w:pPr>
        <w:tabs>
          <w:tab w:val="num" w:pos="1800"/>
        </w:tabs>
        <w:ind w:start="0" w:firstLine="1440"/>
      </w:pPr>
      <w:rPr>
        <w:color w:val="000000"/>
      </w:rPr>
    </w:lvl>
    <w:lvl w:ilvl="3">
      <w:start w:val="1"/>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0" w:hanging="0"/>
      </w:pPr>
      <w:rPr>
        <w:i w:val="false"/>
        <w:b/>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72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2">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3">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4">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5">
    <w:lvl w:ilvl="0">
      <w:start w:val="1"/>
      <w:numFmt w:val="decimal"/>
      <w:lvlText w:val="%1."/>
      <w:lvlJc w:val="center"/>
      <w:pPr>
        <w:tabs>
          <w:tab w:val="num" w:pos="720"/>
        </w:tabs>
        <w:ind w:start="0" w:firstLine="360"/>
      </w:pPr>
      <w:rPr>
        <w:i w:val="false"/>
        <w:b/>
      </w:rPr>
    </w:lvl>
    <w:lvl w:ilvl="1">
      <w:start w:val="1"/>
      <w:isLgl/>
      <w:numFmt w:val="decimal"/>
      <w:lvlText w:val="%1.%2"/>
      <w:lvlJc w:val="start"/>
      <w:pPr>
        <w:tabs>
          <w:tab w:val="num" w:pos="360"/>
        </w:tabs>
        <w:ind w:start="0" w:hanging="0"/>
      </w:pPr>
      <w:rPr>
        <w:sz w:val="22"/>
        <w:i w:val="false"/>
        <w:b w:val="false"/>
      </w:rPr>
    </w:lvl>
    <w:lvl w:ilvl="2">
      <w:start w:val="1"/>
      <w:numFmt w:val="lowerLetter"/>
      <w:lvlText w:val="(%3)."/>
      <w:lvlJc w:val="start"/>
      <w:pPr>
        <w:tabs>
          <w:tab w:val="num" w:pos="1080"/>
        </w:tabs>
        <w:ind w:start="0" w:firstLine="720"/>
      </w:pPr>
      <w:rPr>
        <w:sz w:val="22"/>
        <w:i w:val="false"/>
        <w:b w:val="false"/>
        <w:rFonts w:ascii="Times New Roman" w:hAnsi="Times New Roman" w:cs="Times New Roman"/>
      </w:rPr>
    </w:lvl>
    <w:lvl w:ilvl="3">
      <w:start w:val="1"/>
      <w:numFmt w:val="lowerRoman"/>
      <w:lvlText w:val="(%4)"/>
      <w:lvlJc w:val="start"/>
      <w:pPr>
        <w:tabs>
          <w:tab w:val="num" w:pos="1728"/>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keepLines/>
      <w:numPr>
        <w:ilvl w:val="0"/>
        <w:numId w:val="11"/>
      </w:numPr>
      <w:tabs>
        <w:tab w:val="clear" w:pos="720"/>
        <w:tab w:val="left" w:pos="1440" w:leader="none"/>
        <w:tab w:val="left" w:pos="2160" w:leader="none"/>
        <w:tab w:val="left" w:pos="2880" w:leader="none"/>
        <w:tab w:val="left" w:pos="3600" w:leader="none"/>
        <w:tab w:val="left" w:pos="4320" w:leader="none"/>
        <w:tab w:val="left" w:pos="5040" w:leader="dot"/>
      </w:tabs>
      <w:spacing w:before="0" w:after="200"/>
      <w:jc w:val="center"/>
      <w:outlineLvl w:val="0"/>
    </w:pPr>
    <w:rPr>
      <w:rFonts w:ascii="Times New Roman Bold;Times New Roman" w:hAnsi="Times New Roman Bold;Times New Roman" w:cs="Times New Roman Bold;Times New Roman"/>
      <w:b/>
      <w:caps/>
      <w:color w:val="000000"/>
      <w:sz w:val="19"/>
    </w:rPr>
  </w:style>
  <w:style w:type="paragraph" w:styleId="Heading2">
    <w:name w:val="heading 2"/>
    <w:basedOn w:val="Normal"/>
    <w:next w:val="BodyText"/>
    <w:qFormat/>
    <w:pPr>
      <w:numPr>
        <w:ilvl w:val="0"/>
        <w:numId w:val="11"/>
      </w:numPr>
      <w:spacing w:before="0" w:after="200"/>
      <w:jc w:val="both"/>
      <w:outlineLvl w:val="1"/>
    </w:pPr>
    <w:rPr>
      <w:color w:val="000000"/>
      <w:sz w:val="19"/>
    </w:rPr>
  </w:style>
  <w:style w:type="paragraph" w:styleId="Heading3">
    <w:name w:val="heading 3"/>
    <w:basedOn w:val="Heading2"/>
    <w:next w:val="BodyText"/>
    <w:qFormat/>
    <w:pPr>
      <w:numPr>
        <w:ilvl w:val="0"/>
        <w:numId w:val="11"/>
      </w:numPr>
      <w:outlineLvl w:val="2"/>
    </w:pPr>
    <w:rPr>
      <w:sz w:val="19"/>
    </w:rPr>
  </w:style>
  <w:style w:type="paragraph" w:styleId="Heading4">
    <w:name w:val="heading 4"/>
    <w:basedOn w:val="Normal"/>
    <w:next w:val="BodyText"/>
    <w:qFormat/>
    <w:pPr>
      <w:keepNext w:val="true"/>
      <w:numPr>
        <w:ilvl w:val="0"/>
        <w:numId w:val="11"/>
      </w:numPr>
      <w:spacing w:before="0" w:after="240"/>
      <w:outlineLvl w:val="3"/>
    </w:pPr>
    <w:rPr>
      <w:sz w:val="22"/>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b/>
      <w:i w:val="false"/>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2z1">
    <w:name w:val="WW8Num12z1"/>
    <w:qFormat/>
    <w:rPr>
      <w:b w:val="false"/>
      <w:i w:val="false"/>
      <w:sz w:val="22"/>
    </w:rPr>
  </w:style>
  <w:style w:type="character" w:styleId="WW8Num12z2">
    <w:name w:val="WW8Num12z2"/>
    <w:qFormat/>
    <w:rPr>
      <w:rFonts w:ascii="Times New Roman" w:hAnsi="Times New Roman" w:cs="Times New Roman"/>
      <w:b w:val="false"/>
      <w:i w:val="false"/>
      <w:sz w:val="22"/>
    </w:rPr>
  </w:style>
  <w:style w:type="character" w:styleId="WW8Num13z0">
    <w:name w:val="WW8Num13z0"/>
    <w:qFormat/>
    <w:rPr>
      <w:rFonts w:ascii="Symbol" w:hAnsi="Symbol" w:cs="Symbol"/>
      <w:sz w:val="14"/>
    </w:rPr>
  </w:style>
  <w:style w:type="character" w:styleId="WW8Num17z0">
    <w:name w:val="WW8Num17z0"/>
    <w:qFormat/>
    <w:rPr>
      <w:color w:val="000000"/>
    </w:rPr>
  </w:style>
  <w:style w:type="character" w:styleId="WW8Num19z0">
    <w:name w:val="WW8Num19z0"/>
    <w:qFormat/>
    <w:rPr>
      <w:rFonts w:ascii="Times New Roman Bold;Times New Roman" w:hAnsi="Times New Roman Bold;Times New Roman" w:cs="Times New Roman Bold;Times New Roman"/>
      <w:b/>
      <w:i w:val="false"/>
      <w:color w:val="000000"/>
      <w:sz w:val="22"/>
      <w:u w:val="none"/>
    </w:rPr>
  </w:style>
  <w:style w:type="character" w:styleId="WW8Num19z1">
    <w:name w:val="WW8Num19z1"/>
    <w:qFormat/>
    <w:rPr>
      <w:rFonts w:ascii="Times New Roman" w:hAnsi="Times New Roman" w:cs="Times New Roman"/>
      <w:b w:val="false"/>
      <w:i w:val="false"/>
      <w:color w:val="000000"/>
      <w:sz w:val="22"/>
      <w:u w:val="none"/>
    </w:rPr>
  </w:style>
  <w:style w:type="character" w:styleId="WW8Num19z4">
    <w:name w:val="WW8Num19z4"/>
    <w:qFormat/>
    <w:rPr>
      <w:color w:val="000000"/>
    </w:rPr>
  </w:style>
  <w:style w:type="character" w:styleId="WW8Num20z0">
    <w:name w:val="WW8Num20z0"/>
    <w:qFormat/>
    <w:rPr>
      <w:b/>
    </w:rPr>
  </w:style>
  <w:style w:type="character" w:styleId="WW8Num21z0">
    <w:name w:val="WW8Num21z0"/>
    <w:qFormat/>
    <w:rPr>
      <w:b/>
    </w:rPr>
  </w:style>
  <w:style w:type="character" w:styleId="WW8Num22z0">
    <w:name w:val="WW8Num22z0"/>
    <w:qFormat/>
    <w:rPr/>
  </w:style>
  <w:style w:type="character" w:styleId="WW8Num25z0">
    <w:name w:val="WW8Num25z0"/>
    <w:qFormat/>
    <w:rPr>
      <w:rFonts w:ascii="Symbol" w:hAnsi="Symbol" w:cs="Symbol"/>
      <w:sz w:val="14"/>
    </w:rPr>
  </w:style>
  <w:style w:type="character" w:styleId="WW8Num26z0">
    <w:name w:val="WW8Num26z0"/>
    <w:qFormat/>
    <w:rPr>
      <w:rFonts w:ascii="Symbol" w:hAnsi="Symbol" w:cs="Symbol"/>
      <w:sz w:val="14"/>
    </w:rPr>
  </w:style>
  <w:style w:type="character" w:styleId="WW8Num27z0">
    <w:name w:val="WW8Num27z0"/>
    <w:qFormat/>
    <w:rPr>
      <w:color w:val="000000"/>
    </w:rPr>
  </w:style>
  <w:style w:type="character" w:styleId="WW8Num27z2">
    <w:name w:val="WW8Num27z2"/>
    <w:qFormat/>
    <w:rPr>
      <w:color w:val="000000"/>
      <w:u w:val="none"/>
    </w:rPr>
  </w:style>
  <w:style w:type="character" w:styleId="WW8Num28z0">
    <w:name w:val="WW8Num28z0"/>
    <w:qFormat/>
    <w:rPr>
      <w:rFonts w:ascii="Times New Roman" w:hAnsi="Times New Roman" w:cs="Times New Roman"/>
      <w:b w:val="false"/>
      <w:i w:val="false"/>
      <w:caps w:val="false"/>
      <w:smallCaps w:val="false"/>
      <w:vanish w:val="false"/>
      <w:color w:val="000000"/>
      <w:sz w:val="24"/>
      <w:u w:val="none"/>
    </w:rPr>
  </w:style>
  <w:style w:type="character" w:styleId="WW8Num28z1">
    <w:name w:val="WW8Num28z1"/>
    <w:qFormat/>
    <w:rPr>
      <w:rFonts w:ascii="Times New Roman" w:hAnsi="Times New Roman" w:cs="Times New Roman"/>
      <w:b w:val="false"/>
      <w:i w:val="false"/>
      <w:caps w:val="false"/>
      <w:smallCaps w:val="false"/>
      <w:vanish w:val="false"/>
      <w:color w:val="000000"/>
      <w:sz w:val="24"/>
      <w:u w:val="none"/>
    </w:rPr>
  </w:style>
  <w:style w:type="character" w:styleId="WW8Num28z3">
    <w:name w:val="WW8Num28z3"/>
    <w:qFormat/>
    <w:rPr>
      <w:rFonts w:ascii="Times New Roman" w:hAnsi="Times New Roman" w:cs="Times New Roman"/>
      <w:i w:val="false"/>
      <w:caps w:val="false"/>
      <w:smallCaps w:val="false"/>
      <w:vanish w:val="false"/>
      <w:color w:val="000000"/>
      <w:sz w:val="24"/>
      <w:u w:val="none"/>
    </w:rPr>
  </w:style>
  <w:style w:type="character" w:styleId="WW8Num28z4">
    <w:name w:val="WW8Num28z4"/>
    <w:qFormat/>
    <w:rPr/>
  </w:style>
  <w:style w:type="character" w:styleId="WW8Num29z0">
    <w:name w:val="WW8Num29z0"/>
    <w:qFormat/>
    <w:rPr/>
  </w:style>
  <w:style w:type="character" w:styleId="WW8Num30z0">
    <w:name w:val="WW8Num30z0"/>
    <w:qFormat/>
    <w:rPr>
      <w:rFonts w:ascii="Symbol" w:hAnsi="Symbol" w:cs="Symbol"/>
      <w:sz w:val="14"/>
    </w:rPr>
  </w:style>
  <w:style w:type="character" w:styleId="WW8Num31z0">
    <w:name w:val="WW8Num31z0"/>
    <w:qFormat/>
    <w:rPr>
      <w:b/>
    </w:rPr>
  </w:style>
  <w:style w:type="character" w:styleId="WW8Num32z0">
    <w:name w:val="WW8Num32z0"/>
    <w:qFormat/>
    <w:rPr/>
  </w:style>
  <w:style w:type="character" w:styleId="WW8Num32z1">
    <w:name w:val="WW8Num32z1"/>
    <w:qFormat/>
    <w:rPr>
      <w:b/>
      <w:i w:val="false"/>
    </w:rPr>
  </w:style>
  <w:style w:type="character" w:styleId="WW8Num33z0">
    <w:name w:val="WW8Num33z0"/>
    <w:qFormat/>
    <w:rPr>
      <w:b/>
    </w:rPr>
  </w:style>
  <w:style w:type="character" w:styleId="WW8NumSt52z0">
    <w:name w:val="WW8NumSt5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Heading">
    <w:name w:val="Heading"/>
    <w:basedOn w:val="Normal"/>
    <w:next w:val="BodyText"/>
    <w:qFormat/>
    <w:pPr>
      <w:keepNext w:val="true"/>
      <w:keepLines/>
      <w:suppressAutoHyphens w:val="true"/>
      <w:spacing w:before="0" w:after="240"/>
      <w:jc w:val="center"/>
      <w:outlineLvl w:val="0"/>
    </w:pPr>
    <w:rPr>
      <w:b/>
    </w:rPr>
  </w:style>
  <w:style w:type="paragraph" w:styleId="BodyText">
    <w:name w:val="Body Text"/>
    <w:basedOn w:val="Normal"/>
    <w:pPr>
      <w:spacing w:before="0" w:after="200"/>
      <w:ind w:firstLine="720" w:start="0" w:end="0"/>
      <w:jc w:val="both"/>
    </w:pPr>
    <w:rPr>
      <w:sz w:val="19"/>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0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720" w:start="720" w:end="0"/>
    </w:pPr>
    <w:rPr/>
  </w:style>
  <w:style w:type="paragraph" w:styleId="BodyTextIndent">
    <w:name w:val="Body Text Indent"/>
    <w:basedOn w:val="BodyText"/>
    <w:pPr>
      <w:ind w:firstLine="72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textblock">
    <w:name w:val="text block"/>
    <w:basedOn w:val="Normal"/>
    <w:qFormat/>
    <w:pPr>
      <w:spacing w:before="0" w:after="240"/>
    </w:pPr>
    <w:rPr/>
  </w:style>
  <w:style w:type="paragraph" w:styleId="text">
    <w:name w:val="text"/>
    <w:basedOn w:val="Normal"/>
    <w:qFormat/>
    <w:pPr>
      <w:spacing w:before="0" w:after="240"/>
      <w:ind w:hanging="0" w:start="806" w:end="0"/>
    </w:pPr>
    <w:rPr/>
  </w:style>
  <w:style w:type="paragraph" w:styleId="PlainText">
    <w:name w:val="Plain Text"/>
    <w:basedOn w:val="Normal"/>
    <w:qFormat/>
    <w:pPr/>
    <w:rPr>
      <w:rFonts w:ascii="Courier New" w:hAnsi="Courier New" w:cs="Courier New"/>
      <w:sz w:val="20"/>
    </w:rPr>
  </w:style>
  <w:style w:type="paragraph" w:styleId="HeadingTitle">
    <w:name w:val="Heading Title"/>
    <w:basedOn w:val="Heading1"/>
    <w:qFormat/>
    <w:pPr>
      <w:keepNext w:val="false"/>
      <w:keepLines w:val="false"/>
      <w:numPr>
        <w:ilvl w:val="0"/>
        <w:numId w:val="11"/>
      </w:numPr>
      <w:tabs>
        <w:tab w:val="clear" w:pos="1440"/>
        <w:tab w:val="clear" w:pos="2160"/>
        <w:tab w:val="clear" w:pos="2880"/>
        <w:tab w:val="clear" w:pos="3600"/>
        <w:tab w:val="clear" w:pos="4320"/>
        <w:tab w:val="clear" w:pos="5040"/>
      </w:tabs>
      <w:spacing w:before="0" w:after="200"/>
      <w:ind w:hanging="0" w:start="0" w:end="720"/>
      <w:jc w:val="start"/>
    </w:pPr>
    <w:rPr>
      <w:rFonts w:ascii="Times New Roman" w:hAnsi="Times New Roman" w:cs="Times New Roman"/>
      <w:color w:val="auto"/>
      <w:sz w:val="24"/>
      <w:u w:val="single"/>
    </w:rPr>
  </w:style>
  <w:style w:type="paragraph" w:styleId="H2">
    <w:name w:val="H2"/>
    <w:basedOn w:val="Normal"/>
    <w:next w:val="Normal"/>
    <w:qFormat/>
    <w:pPr>
      <w:keepNext w:val="true"/>
      <w:spacing w:before="100" w:after="100"/>
      <w:outlineLvl w:val="2"/>
    </w:pPr>
    <w:rPr>
      <w:b/>
      <w:sz w:val="36"/>
    </w:rPr>
  </w:style>
  <w:style w:type="paragraph" w:styleId="Body">
    <w:name w:val="Body"/>
    <w:basedOn w:val="Normal"/>
    <w:qFormat/>
    <w:pPr>
      <w:spacing w:lineRule="atLeast" w:line="240"/>
      <w:jc w:val="both"/>
    </w:pPr>
    <w:rPr>
      <w:rFonts w:ascii="Helvetica" w:hAnsi="Helvetica" w:cs="Helvetic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image" Target="media/image1.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oleObject" Target="embeddings/oleObject1.bin"/><Relationship Id="rId22" Type="http://schemas.openxmlformats.org/officeDocument/2006/relationships/image" Target="media/image2.wmf"/><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image" Target="media/image3.wmf"/><Relationship Id="rId28" Type="http://schemas.openxmlformats.org/officeDocument/2006/relationships/image" Target="media/image4.wmf"/><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2001-02-16T11:52:00Z</dcterms:created>
  <dc:creator>tyanows</dc:creator>
  <dc:description/>
  <dc:language>en-CA</dc:language>
  <cp:lastModifiedBy>tyanows</cp:lastModifiedBy>
  <cp:lastPrinted>2001-02-16T08:22:00Z</cp:lastPrinted>
  <dcterms:modified xsi:type="dcterms:W3CDTF">2001-02-16T11:52:00Z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
  </property>
  <property fmtid="{D5CDD505-2E9C-101B-9397-08002B2CF9AE}" pid="10" name="Doc Path">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property>
  <property fmtid="{D5CDD505-2E9C-101B-9397-08002B2CF9AE}" pid="17" name="Parties">
    <vt:lpwstr> </vt:lpwstr>
  </property>
  <property fmtid="{D5CDD505-2E9C-101B-9397-08002B2CF9AE}" pid="18" name="Signer(s)">
    <vt:lpwstr> </vt:lpwstr>
  </property>
</Properties>
</file>