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oter6.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header4.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4"/>
        </w:rPr>
      </w:pPr>
      <w:r>
        <w:rPr>
          <w:sz w:val="24"/>
        </w:rPr>
        <w:t>EC OUTLOOK EDI LICENSE AGREEMENT</w:t>
      </w:r>
    </w:p>
    <w:p>
      <w:pPr>
        <w:pStyle w:val="BodyText"/>
        <w:spacing w:before="0" w:after="240"/>
        <w:ind w:firstLine="360" w:end="0"/>
        <w:rPr/>
      </w:pPr>
      <w:r>
        <w:rPr>
          <w:sz w:val="22"/>
        </w:rPr>
        <w:tab/>
        <w:t>THIS EC OUTLOOK EDI LICENSE AGREEMENT (this “</w:t>
      </w:r>
      <w:r>
        <w:rPr>
          <w:b/>
          <w:i/>
          <w:sz w:val="22"/>
        </w:rPr>
        <w:t>Agreement</w:t>
      </w:r>
      <w:r>
        <w:rPr>
          <w:sz w:val="22"/>
        </w:rPr>
        <w:t>”) dated as of __________, 2001 (the “</w:t>
      </w:r>
      <w:r>
        <w:rPr>
          <w:b/>
          <w:i/>
          <w:sz w:val="22"/>
        </w:rPr>
        <w:t>Effective Date</w:t>
      </w:r>
      <w:r>
        <w:rPr>
          <w:sz w:val="22"/>
        </w:rPr>
        <w:t>”) is by and between EC Outlook.com, a Delaware corporation (“</w:t>
      </w:r>
      <w:r>
        <w:rPr>
          <w:b/>
          <w:i/>
          <w:sz w:val="22"/>
        </w:rPr>
        <w:t>EC Outlook</w:t>
      </w:r>
      <w:r>
        <w:rPr>
          <w:sz w:val="22"/>
        </w:rPr>
        <w:t>”), and Enron Net Works, LLC (“</w:t>
      </w:r>
      <w:r>
        <w:rPr>
          <w:b/>
          <w:i/>
          <w:sz w:val="22"/>
        </w:rPr>
        <w:t>Customer</w:t>
      </w:r>
      <w:r>
        <w:rPr>
          <w:sz w:val="22"/>
        </w:rPr>
        <w:t xml:space="preserve">”), a Delaware corporation.  </w:t>
      </w:r>
    </w:p>
    <w:p>
      <w:pPr>
        <w:pStyle w:val="BodyText"/>
        <w:spacing w:before="0" w:after="240"/>
        <w:rPr/>
      </w:pPr>
      <w:r>
        <w:rPr>
          <w:smallCaps/>
          <w:sz w:val="22"/>
        </w:rPr>
        <w:t>Whereas</w:t>
      </w:r>
      <w:r>
        <w:rPr>
          <w:sz w:val="22"/>
        </w:rPr>
        <w:t xml:space="preserve">, EC Outlook owns certain technology useful in electronic data interchange after purchasing the same from Customer;  and </w:t>
      </w:r>
    </w:p>
    <w:p>
      <w:pPr>
        <w:pStyle w:val="BodyText"/>
        <w:spacing w:before="0" w:after="240"/>
        <w:rPr/>
      </w:pPr>
      <w:r>
        <w:rPr>
          <w:smallCaps/>
          <w:sz w:val="22"/>
        </w:rPr>
        <w:t xml:space="preserve">Whereas, </w:t>
      </w:r>
      <w:r>
        <w:rPr>
          <w:sz w:val="22"/>
        </w:rPr>
        <w:t>Customer wishes to obtain a license from EC Outlook to use this electronic data interchange technology;</w:t>
      </w:r>
    </w:p>
    <w:p>
      <w:pPr>
        <w:pStyle w:val="BodyText"/>
        <w:spacing w:before="0" w:after="240"/>
        <w:rPr/>
      </w:pPr>
      <w:r>
        <w:rPr>
          <w:smallCaps/>
          <w:sz w:val="22"/>
        </w:rPr>
        <w:t>Now, therefore</w:t>
      </w:r>
      <w:r>
        <w:rPr>
          <w:sz w:val="22"/>
        </w:rPr>
        <w:t>, in furtherance of the foregoing and in consideration of the mutual covenants contained herein, and for other good and valuable consideration, the receipt and sufficiency of which are hereby acknowledged, EC Outlook and Customer hereby agree as follows:</w:t>
      </w:r>
    </w:p>
    <w:p>
      <w:pPr>
        <w:pStyle w:val="Heading1"/>
        <w:numPr>
          <w:ilvl w:val="0"/>
          <w:numId w:val="11"/>
        </w:numPr>
        <w:tabs>
          <w:tab w:val="clear" w:pos="1440"/>
          <w:tab w:val="left" w:pos="720" w:leader="none"/>
          <w:tab w:val="left" w:pos="2160" w:leader="none"/>
          <w:tab w:val="left" w:pos="2880" w:leader="none"/>
          <w:tab w:val="left" w:pos="3600" w:leader="none"/>
          <w:tab w:val="left" w:pos="4320" w:leader="none"/>
          <w:tab w:val="left" w:pos="5040" w:leader="dot"/>
        </w:tabs>
        <w:spacing w:before="120" w:after="240"/>
        <w:ind w:hanging="0" w:start="0" w:end="0"/>
        <w:jc w:val="start"/>
        <w:rPr>
          <w:rFonts w:ascii="Times New Roman" w:hAnsi="Times New Roman" w:cs="Times New Roman"/>
          <w:sz w:val="22"/>
        </w:rPr>
      </w:pPr>
      <w:r>
        <w:rPr>
          <w:rFonts w:cs="Times New Roman" w:ascii="Times New Roman" w:hAnsi="Times New Roman"/>
          <w:sz w:val="22"/>
          <w:u w:val="single"/>
        </w:rPr>
        <w:t>DEFINITIONS.</w:t>
      </w:r>
    </w:p>
    <w:p>
      <w:pPr>
        <w:pStyle w:val="BodyText"/>
        <w:spacing w:before="0" w:after="240"/>
        <w:rPr>
          <w:sz w:val="22"/>
        </w:rPr>
      </w:pPr>
      <w:r>
        <w:rPr>
          <w:sz w:val="22"/>
        </w:rPr>
        <w:t>When used herein with initial capital letters, the following terms shall have the following meanings:</w:t>
      </w:r>
    </w:p>
    <w:p>
      <w:pPr>
        <w:pStyle w:val="BodyText"/>
        <w:spacing w:before="0" w:after="240"/>
        <w:rPr/>
      </w:pPr>
      <w:r>
        <w:rPr>
          <w:sz w:val="22"/>
        </w:rPr>
        <w:t>“</w:t>
      </w:r>
      <w:r>
        <w:rPr>
          <w:b/>
          <w:i/>
          <w:sz w:val="22"/>
        </w:rPr>
        <w:t>Confidential Information</w:t>
      </w:r>
      <w:r>
        <w:rPr>
          <w:sz w:val="22"/>
        </w:rPr>
        <w:t>” shall mean any and all trade secrets, proprietary or confidential information that are owned by a party and/or reasonably considered under the circumstances to be confidential,, that a party has disclosed to the other party prior to the Effective Date, or that a party may disclose to the other party on or after the Effective Date.  The following will not constitute Confidential Information for purposes of this Agreement: (a) information which was already in the receiving party’s possession as a matter of record prior to the Effective Date and not disclosed to the receiving party by the other party to this Agreement; (b) information that is independently developed by the receiving party as a matter of record; (c) information that is obtained from a third party who, insofar as is known to the receiving party, is not prohibited from transmitting the information to the receiving party by a contractual, legal or fiduciary obligation to the disclosing party; or (d) information which is or which becomes generally available to the public other than as a result of disclosure by the receiving party.  Notwithstanding any of the foregoing, the parties agree that EC Outlook’s Confidential Information shall be construed to include, without limitation, the Documentation and object and source code to the Software, as defined herein.</w:t>
      </w:r>
    </w:p>
    <w:p>
      <w:pPr>
        <w:pStyle w:val="BodyText"/>
        <w:spacing w:before="0" w:after="240"/>
        <w:ind w:firstLine="360" w:end="0"/>
        <w:rPr/>
      </w:pPr>
      <w:r>
        <w:rPr>
          <w:sz w:val="22"/>
        </w:rPr>
        <w:t>“</w:t>
      </w:r>
      <w:r>
        <w:rPr>
          <w:b/>
          <w:i/>
          <w:sz w:val="22"/>
        </w:rPr>
        <w:t>Derivative Work</w:t>
      </w:r>
      <w:r>
        <w:rPr>
          <w:sz w:val="22"/>
        </w:rPr>
        <w:t>” has the meaning as defined in the Copyright Act, 17 U.S.C. § 101 (2000), as construed by competent courts.</w:t>
      </w:r>
    </w:p>
    <w:p>
      <w:pPr>
        <w:pStyle w:val="BodyText"/>
        <w:spacing w:before="0" w:after="240"/>
        <w:ind w:firstLine="360" w:end="0"/>
        <w:rPr/>
      </w:pPr>
      <w:r>
        <w:rPr>
          <w:sz w:val="22"/>
        </w:rPr>
        <w:t>“</w:t>
      </w:r>
      <w:r>
        <w:rPr>
          <w:b/>
          <w:i/>
          <w:sz w:val="22"/>
        </w:rPr>
        <w:t>Documentation</w:t>
      </w:r>
      <w:r>
        <w:rPr>
          <w:sz w:val="22"/>
        </w:rPr>
        <w:t xml:space="preserve">” means detailed documentation setting forth the functional and technical specifications of the Software, including, but not limited to, the items listed on </w:t>
      </w:r>
      <w:r>
        <w:rPr>
          <w:sz w:val="22"/>
          <w:u w:val="single"/>
        </w:rPr>
        <w:t>Schedule B</w:t>
      </w:r>
      <w:r>
        <w:rPr>
          <w:sz w:val="22"/>
        </w:rPr>
        <w:t xml:space="preserve"> of this Agreement, and any subsequent versions thereof, which EC Outlook provides (or which in certain circumstances may be provided by Customer to EC Outlook after the Effective Date). </w:t>
      </w:r>
    </w:p>
    <w:p>
      <w:pPr>
        <w:pStyle w:val="BodyText"/>
        <w:spacing w:before="0" w:after="240"/>
        <w:ind w:firstLine="360" w:end="0"/>
        <w:rPr/>
      </w:pPr>
      <w:r>
        <w:rPr>
          <w:sz w:val="22"/>
        </w:rPr>
        <w:t>“</w:t>
      </w:r>
      <w:r>
        <w:rPr>
          <w:b/>
          <w:i/>
          <w:sz w:val="22"/>
        </w:rPr>
        <w:t>EDI Technology</w:t>
      </w:r>
      <w:r>
        <w:rPr>
          <w:sz w:val="22"/>
        </w:rPr>
        <w:t>” means the Software and Documentation, taken together.</w:t>
      </w:r>
    </w:p>
    <w:p>
      <w:pPr>
        <w:pStyle w:val="BodyText"/>
        <w:spacing w:before="0" w:after="240"/>
        <w:ind w:firstLine="360" w:end="0"/>
        <w:rPr/>
      </w:pPr>
      <w:r>
        <w:rPr>
          <w:sz w:val="22"/>
        </w:rPr>
        <w:t>“</w:t>
      </w:r>
      <w:r>
        <w:rPr>
          <w:b/>
          <w:i/>
          <w:sz w:val="22"/>
        </w:rPr>
        <w:t>Intellectual Property Rights</w:t>
      </w:r>
      <w:r>
        <w:rPr>
          <w:sz w:val="22"/>
        </w:rPr>
        <w:t>” means all intellectual property rights protected by law throughout the world, including all copyright rights, copyright registrations and applications, trademark rights (including trade dress and trade name), trademark registrations and applications, patent rights (including the right to apply therefor), patent applications (including the right to claim priority under applicable international conventions) and all patents issuing thereon, and inventions, whether or not patentable, trade secret rights, mask-work rights, all utility and design rights, rights in specifications, moral rights, author's rights, rights in algorithms, rights in packaging, rights in goodwill, and other intellectual property rights, as may exist now and hereafter come into existence, and all renewals and extensions thereof, regardless of whether any of such rights arise under the laws of the United States or of any other state, country or jurisdiction.</w:t>
      </w:r>
    </w:p>
    <w:p>
      <w:pPr>
        <w:pStyle w:val="BodyText"/>
        <w:spacing w:before="0" w:after="240"/>
        <w:ind w:firstLine="360" w:end="0"/>
        <w:rPr/>
      </w:pPr>
      <w:r>
        <w:rPr>
          <w:sz w:val="22"/>
        </w:rPr>
        <w:t xml:space="preserve"> “</w:t>
      </w:r>
      <w:r>
        <w:rPr>
          <w:b/>
          <w:i/>
          <w:sz w:val="22"/>
        </w:rPr>
        <w:t>Software</w:t>
      </w:r>
      <w:r>
        <w:rPr>
          <w:sz w:val="22"/>
        </w:rPr>
        <w:t xml:space="preserve">” means the software described on </w:t>
      </w:r>
      <w:r>
        <w:rPr>
          <w:sz w:val="22"/>
          <w:u w:val="single"/>
        </w:rPr>
        <w:t>Schedule B</w:t>
      </w:r>
      <w:r>
        <w:rPr>
          <w:sz w:val="22"/>
        </w:rPr>
        <w:t xml:space="preserve"> of this Agreement, and any subsequent versions thereof, provided by EC Outlook (or which in certain circumstances may be provided by Customer after the Effective Date).  </w:t>
      </w:r>
    </w:p>
    <w:p>
      <w:pPr>
        <w:pStyle w:val="BodyText"/>
        <w:spacing w:before="0" w:after="240"/>
        <w:ind w:firstLine="360" w:end="0"/>
        <w:rPr/>
      </w:pPr>
      <w:r>
        <w:rPr>
          <w:sz w:val="22"/>
        </w:rPr>
        <w:t>“</w:t>
      </w:r>
      <w:r>
        <w:rPr>
          <w:b/>
          <w:i/>
          <w:sz w:val="22"/>
        </w:rPr>
        <w:t>Trademarks</w:t>
      </w:r>
      <w:r>
        <w:rPr>
          <w:sz w:val="22"/>
        </w:rPr>
        <w:t>” shall mean those trademarks, trade names, logos and service marks provided by one party to the other under this Agreement, as such marks may be amended by each party from time to time.</w:t>
      </w:r>
    </w:p>
    <w:p>
      <w:pPr>
        <w:pStyle w:val="BodyText"/>
        <w:spacing w:before="0" w:after="240"/>
        <w:ind w:firstLine="360" w:end="0"/>
        <w:rPr/>
      </w:pPr>
      <w:r>
        <w:rPr>
          <w:sz w:val="22"/>
        </w:rPr>
        <w:t>“</w:t>
      </w:r>
      <w:r>
        <w:rPr>
          <w:b/>
          <w:i/>
          <w:sz w:val="22"/>
        </w:rPr>
        <w:t>Trading Partners</w:t>
      </w:r>
      <w:r>
        <w:rPr>
          <w:sz w:val="22"/>
        </w:rPr>
        <w:t>” shall mean the entities authorized by Customer, in compliance with the provisions of this Agreement, to access and use the EDI Technology.</w:t>
      </w:r>
    </w:p>
    <w:p>
      <w:pPr>
        <w:pStyle w:val="Heading1"/>
        <w:numPr>
          <w:ilvl w:val="0"/>
          <w:numId w:val="11"/>
        </w:numPr>
        <w:spacing w:before="120" w:after="240"/>
        <w:ind w:hanging="0" w:start="0" w:end="0"/>
        <w:jc w:val="start"/>
        <w:rPr>
          <w:rFonts w:ascii="Times New Roman" w:hAnsi="Times New Roman" w:cs="Times New Roman"/>
          <w:sz w:val="22"/>
        </w:rPr>
      </w:pPr>
      <w:r>
        <w:rPr>
          <w:rFonts w:cs="Times New Roman" w:ascii="Times New Roman" w:hAnsi="Times New Roman"/>
          <w:sz w:val="22"/>
          <w:u w:val="single"/>
        </w:rPr>
        <w:t xml:space="preserve">lICENSES </w:t>
      </w:r>
      <w:r>
        <w:rPr>
          <w:sz w:val="22"/>
          <w:u w:val="single"/>
        </w:rPr>
        <w:t>AND USE RESTRICTIONS</w:t>
      </w:r>
      <w:r>
        <w:rPr>
          <w:rFonts w:cs="Times New Roman" w:ascii="Times New Roman" w:hAnsi="Times New Roman"/>
          <w:sz w:val="22"/>
          <w:u w:val="single"/>
        </w:rPr>
        <w:t>.</w:t>
      </w:r>
    </w:p>
    <w:p>
      <w:pPr>
        <w:pStyle w:val="Heading2"/>
        <w:numPr>
          <w:ilvl w:val="1"/>
          <w:numId w:val="11"/>
        </w:numPr>
        <w:spacing w:before="0" w:after="240"/>
        <w:ind w:firstLine="720" w:start="0" w:end="0"/>
        <w:rPr>
          <w:sz w:val="22"/>
        </w:rPr>
      </w:pPr>
      <w:r>
        <w:rPr>
          <w:b/>
          <w:sz w:val="22"/>
        </w:rPr>
        <w:t>License to Use</w:t>
      </w:r>
      <w:r>
        <w:rPr>
          <w:sz w:val="22"/>
        </w:rPr>
        <w:t xml:space="preserve">.  EC Outlook hereby grants a world-wide, terminable, non-transferable (except as set forth in </w:t>
      </w:r>
      <w:r>
        <w:rPr>
          <w:sz w:val="22"/>
          <w:u w:val="single"/>
        </w:rPr>
        <w:t>Section 2.1(d)(i)</w:t>
      </w:r>
      <w:r>
        <w:rPr>
          <w:sz w:val="22"/>
        </w:rPr>
        <w:t xml:space="preserve"> below)non-exclusive, non-sublicenseable, limited license, under all applicable Intellectual Property Rights, to Customer and its Trading Partners, during the Term of this Agreement, to access the Documentation and the binary code form only of the Software (“</w:t>
      </w:r>
      <w:r>
        <w:rPr>
          <w:b/>
          <w:i/>
          <w:sz w:val="22"/>
        </w:rPr>
        <w:t>License to Use</w:t>
      </w:r>
      <w:r>
        <w:rPr>
          <w:sz w:val="22"/>
        </w:rPr>
        <w:t>”), subject to the following restrictions:</w:t>
      </w:r>
    </w:p>
    <w:p>
      <w:pPr>
        <w:pStyle w:val="Heading3"/>
        <w:numPr>
          <w:ilvl w:val="2"/>
          <w:numId w:val="11"/>
        </w:numPr>
        <w:tabs>
          <w:tab w:val="clear" w:pos="720"/>
          <w:tab w:val="left" w:pos="1440" w:leader="none"/>
        </w:tabs>
        <w:ind w:hanging="0" w:start="0"/>
        <w:rPr/>
      </w:pPr>
      <w:r>
        <w:rPr>
          <w:sz w:val="22"/>
        </w:rPr>
        <w:t>Customer and its Trading Partners may use the Documentation and the binary code form of the Software only in the ordinary course of their business operations related to the mutual electronic exchange of business data, and in accordance with the Documentation;</w:t>
      </w:r>
    </w:p>
    <w:p>
      <w:pPr>
        <w:pStyle w:val="Heading3"/>
        <w:numPr>
          <w:ilvl w:val="2"/>
          <w:numId w:val="11"/>
        </w:numPr>
        <w:tabs>
          <w:tab w:val="clear" w:pos="720"/>
          <w:tab w:val="left" w:pos="1440" w:leader="none"/>
        </w:tabs>
        <w:ind w:hanging="0" w:start="0"/>
        <w:rPr/>
      </w:pPr>
      <w:r>
        <w:rPr>
          <w:sz w:val="22"/>
        </w:rPr>
        <w:t xml:space="preserve">Customer shall not, and shall not allow any third party (including but not limited to its Trading Partners), to (i) decompile, disassemble, or otherwise reverse engineer or attempt to reconstruct or discover, in any way, any source code, programming, algorithms, design structure, interoperability interfaces, concepts, construction methods underlying ideas, or file formats of the Software or of any files contained in the Software, for any purpose, (ii) remove any identification markings, including but not limited to copyright notices and Trademarks, from the Software or Documentation (except for Customer’s Trademarks, if any), or (iii) make any modification, enhancement, or Derivative Work of the Software, or incorporate the Software, or any portion thereof, into or with other software; </w:t>
      </w:r>
    </w:p>
    <w:p>
      <w:pPr>
        <w:pStyle w:val="Heading3"/>
        <w:numPr>
          <w:ilvl w:val="2"/>
          <w:numId w:val="11"/>
        </w:numPr>
        <w:tabs>
          <w:tab w:val="clear" w:pos="720"/>
          <w:tab w:val="left" w:pos="1440" w:leader="none"/>
        </w:tabs>
        <w:ind w:hanging="0" w:start="0"/>
        <w:rPr>
          <w:sz w:val="22"/>
        </w:rPr>
      </w:pPr>
      <w:r>
        <w:rPr>
          <w:sz w:val="22"/>
        </w:rPr>
        <w:t xml:space="preserve">Customer and its Trading Partners shall make no copies of the Documentation or Software, except that Customer may make copies of the Documentation, containing all legends, Trademarks, trade names, copyright notices and other identifications associated with the original, to the extent reasonably necessary to permit (i) access to and use of the Documentation by Trading Partners, and (ii) routine backup and disaster recovery purposes; and </w:t>
      </w:r>
    </w:p>
    <w:p>
      <w:pPr>
        <w:pStyle w:val="Heading3"/>
        <w:numPr>
          <w:ilvl w:val="2"/>
          <w:numId w:val="11"/>
        </w:numPr>
        <w:tabs>
          <w:tab w:val="clear" w:pos="720"/>
        </w:tabs>
        <w:ind w:hanging="0" w:start="0"/>
        <w:rPr>
          <w:sz w:val="22"/>
        </w:rPr>
      </w:pPr>
      <w:r>
        <w:rPr>
          <w:sz w:val="22"/>
        </w:rPr>
        <w:t>In addition to Customer using the Documentation and Software, the following entities shall also be allowed to utilize the Documentation and Software:  (i) any and all of Enron Corp.’s wholly-owned subsidiaries and wholly-owned affiliates, those affiliated companies, partnerships and other entities in which Enron Corp. or its subsidiary or affiliated company owns a controlling  interest (or an equity interest in combination with operating responsibility), (ii) those companies in which Enron Corp. or its subsidiary or affiliated company previously owned a controlling interest (or an equity interest in combination with operating responsibility), for one hundred twenty (120) days after the sale of such entity,  in order that such entity may seek to reach an agreement with EC Outlook, and (iii) any third party service company or contractor (other than Texas Business Systems and/or EC Power) which has been hired by Enron Corp., Customer, or any of its affiliates for the sole purpose of assisting that entity in operating the Software and Documentation  under the provisions of this Agreement.</w:t>
      </w:r>
    </w:p>
    <w:p>
      <w:pPr>
        <w:pStyle w:val="Heading2"/>
        <w:numPr>
          <w:ilvl w:val="1"/>
          <w:numId w:val="11"/>
        </w:numPr>
        <w:spacing w:before="0" w:after="240"/>
        <w:ind w:firstLine="720" w:start="0" w:end="0"/>
        <w:rPr>
          <w:sz w:val="22"/>
        </w:rPr>
      </w:pPr>
      <w:r>
        <w:rPr>
          <w:b/>
          <w:sz w:val="22"/>
        </w:rPr>
        <w:t>License to Change</w:t>
      </w:r>
      <w:r>
        <w:rPr>
          <w:sz w:val="22"/>
        </w:rPr>
        <w:t>.  EC Outlook hereby grants a terminable, non-transferable, non-exclusive, non-sublicenseable, limited license, under all applicable Intellectual Property Rights, to Customer alone (and no Customer subsidiaries, affiliates, partnerships, or other related entities of any type, whether or not Customer has a controlling interest in such entity), during the Term of this Agreement, to access the Documentation and any form of the Software in order to modify, enhance, or create Derivative Works of, the EDI Technology (“</w:t>
      </w:r>
      <w:r>
        <w:rPr>
          <w:b/>
          <w:i/>
          <w:sz w:val="22"/>
        </w:rPr>
        <w:t>License to Change</w:t>
      </w:r>
      <w:r>
        <w:rPr>
          <w:sz w:val="22"/>
        </w:rPr>
        <w:t xml:space="preserve">”), subject to the following restrictions: </w:t>
      </w:r>
    </w:p>
    <w:p>
      <w:pPr>
        <w:pStyle w:val="Heading3"/>
        <w:numPr>
          <w:ilvl w:val="2"/>
          <w:numId w:val="11"/>
        </w:numPr>
        <w:tabs>
          <w:tab w:val="clear" w:pos="720"/>
          <w:tab w:val="left" w:pos="1440" w:leader="none"/>
        </w:tabs>
        <w:ind w:hanging="0" w:start="0"/>
        <w:rPr>
          <w:sz w:val="22"/>
        </w:rPr>
      </w:pPr>
      <w:r>
        <w:rPr>
          <w:sz w:val="22"/>
        </w:rPr>
        <w:t>Customer shall not make any change to the Software or Documentation without the express prior written approval of EC Outlook;</w:t>
      </w:r>
    </w:p>
    <w:p>
      <w:pPr>
        <w:pStyle w:val="Heading3"/>
        <w:numPr>
          <w:ilvl w:val="2"/>
          <w:numId w:val="11"/>
        </w:numPr>
        <w:tabs>
          <w:tab w:val="clear" w:pos="720"/>
          <w:tab w:val="left" w:pos="1440" w:leader="none"/>
        </w:tabs>
        <w:ind w:hanging="0" w:start="0"/>
        <w:rPr>
          <w:sz w:val="22"/>
        </w:rPr>
      </w:pPr>
      <w:r>
        <w:rPr>
          <w:sz w:val="22"/>
        </w:rPr>
        <w:t>Customer shall document any change to the EDI Technology (“</w:t>
      </w:r>
      <w:r>
        <w:rPr>
          <w:b/>
          <w:i/>
          <w:sz w:val="22"/>
        </w:rPr>
        <w:t>Change Documentation</w:t>
      </w:r>
      <w:r>
        <w:rPr>
          <w:sz w:val="22"/>
        </w:rPr>
        <w:t>”) and immediately provide a copy of such Change Documentation to EC Outlook, which EC Outlook may in its sole discretion (which EC Outlook shall reasonably exercise) accept or reject; and in case of rejection Customer shall revise and improve the Change Documentation until accepted by EC Outlook; and</w:t>
      </w:r>
    </w:p>
    <w:p>
      <w:pPr>
        <w:pStyle w:val="Heading3"/>
        <w:numPr>
          <w:ilvl w:val="2"/>
          <w:numId w:val="11"/>
        </w:numPr>
        <w:tabs>
          <w:tab w:val="clear" w:pos="720"/>
          <w:tab w:val="left" w:pos="1440" w:leader="none"/>
        </w:tabs>
        <w:ind w:hanging="0" w:start="0"/>
        <w:rPr>
          <w:sz w:val="22"/>
        </w:rPr>
      </w:pPr>
      <w:r>
        <w:rPr>
          <w:sz w:val="22"/>
        </w:rPr>
        <w:t xml:space="preserve">Customer may make only such copies of the Documentation, Change Documentation, and Software as reasonably necessary to permit it to modify, enhance, or create Derivative Works of the EDI Technology. </w:t>
      </w:r>
    </w:p>
    <w:p>
      <w:pPr>
        <w:pStyle w:val="Heading1"/>
        <w:numPr>
          <w:ilvl w:val="0"/>
          <w:numId w:val="11"/>
        </w:numPr>
        <w:spacing w:before="120" w:after="240"/>
        <w:ind w:hanging="0" w:start="0" w:end="0"/>
        <w:jc w:val="start"/>
        <w:rPr>
          <w:rFonts w:ascii="Times New Roman" w:hAnsi="Times New Roman" w:cs="Times New Roman"/>
          <w:sz w:val="22"/>
        </w:rPr>
      </w:pPr>
      <w:r>
        <w:rPr>
          <w:rFonts w:cs="Times New Roman" w:ascii="Times New Roman" w:hAnsi="Times New Roman"/>
          <w:sz w:val="22"/>
          <w:u w:val="single"/>
        </w:rPr>
        <w:t>NO OBLIGATIONS.</w:t>
      </w:r>
    </w:p>
    <w:p>
      <w:pPr>
        <w:pStyle w:val="Heading2"/>
        <w:numPr>
          <w:ilvl w:val="1"/>
          <w:numId w:val="11"/>
        </w:numPr>
        <w:spacing w:before="0" w:after="240"/>
        <w:ind w:firstLine="720" w:start="0" w:end="0"/>
        <w:rPr>
          <w:sz w:val="22"/>
        </w:rPr>
      </w:pPr>
      <w:r>
        <w:rPr>
          <w:b/>
          <w:sz w:val="22"/>
        </w:rPr>
        <w:t>No Services</w:t>
      </w:r>
      <w:r>
        <w:rPr>
          <w:sz w:val="22"/>
        </w:rPr>
        <w:t>.  EC Outlook has no obligation to provide any services whatsoever under this Agreement, including, but not limited to, services associated with installing and implementing the Software, operating, maintaining, servicing, or providing upgrades or enhancements to the Software, or maintaining, updating, upgrading, or enhancing the Documentation.</w:t>
      </w:r>
    </w:p>
    <w:p>
      <w:pPr>
        <w:pStyle w:val="Heading1"/>
        <w:numPr>
          <w:ilvl w:val="0"/>
          <w:numId w:val="11"/>
        </w:numPr>
        <w:spacing w:before="120" w:after="240"/>
        <w:ind w:hanging="0" w:start="0" w:end="0"/>
        <w:jc w:val="start"/>
        <w:rPr>
          <w:rFonts w:ascii="Times New Roman" w:hAnsi="Times New Roman" w:cs="Times New Roman"/>
          <w:sz w:val="22"/>
        </w:rPr>
      </w:pPr>
      <w:r>
        <w:rPr>
          <w:rFonts w:cs="Times New Roman" w:ascii="Times New Roman" w:hAnsi="Times New Roman"/>
          <w:sz w:val="22"/>
          <w:u w:val="single"/>
        </w:rPr>
        <w:t>FEES AND PAYMENTS.</w:t>
      </w:r>
    </w:p>
    <w:p>
      <w:pPr>
        <w:pStyle w:val="Heading2"/>
        <w:numPr>
          <w:ilvl w:val="1"/>
          <w:numId w:val="11"/>
        </w:numPr>
        <w:spacing w:before="0" w:after="240"/>
        <w:ind w:firstLine="720" w:start="0" w:end="0"/>
        <w:rPr>
          <w:sz w:val="22"/>
        </w:rPr>
      </w:pPr>
      <w:r>
        <w:rPr>
          <w:b/>
          <w:sz w:val="22"/>
        </w:rPr>
        <w:t>License Fees</w:t>
      </w:r>
      <w:r>
        <w:rPr>
          <w:sz w:val="22"/>
        </w:rPr>
        <w:t xml:space="preserve">.  In consideration of EC Outlook’s agreement to license the EDI Technology to Customer for the Initial Term, Customer agrees to pay the Initial Term License Fees set forth in the attached </w:t>
      </w:r>
      <w:r>
        <w:rPr>
          <w:sz w:val="22"/>
          <w:u w:val="single"/>
        </w:rPr>
        <w:t>Schedule A</w:t>
      </w:r>
      <w:r>
        <w:rPr>
          <w:sz w:val="22"/>
        </w:rPr>
        <w:t xml:space="preserve">.  All payments set forth on </w:t>
      </w:r>
      <w:r>
        <w:rPr>
          <w:sz w:val="22"/>
          <w:u w:val="single"/>
        </w:rPr>
        <w:t>Schedule A</w:t>
      </w:r>
      <w:r>
        <w:rPr>
          <w:sz w:val="22"/>
        </w:rPr>
        <w:t xml:space="preserve"> related to the Initial Term are accrued as of the Effective Date, and Customer’s obligation to make these payments shall not be construed to be altered in any way by any termination (including, but not limited to, early termination and termination for cause) of this Agreement, regardless of the identity of the terminating party.  If Customer chooses to renew this Agreement pursuant to </w:t>
      </w:r>
      <w:r>
        <w:rPr>
          <w:sz w:val="22"/>
          <w:u w:val="single"/>
        </w:rPr>
        <w:t>Section 5.1</w:t>
      </w:r>
      <w:r>
        <w:rPr>
          <w:sz w:val="22"/>
        </w:rPr>
        <w:t xml:space="preserve">, Customer agrees to pay the Renewal Term License Fees set forth in </w:t>
      </w:r>
      <w:r>
        <w:rPr>
          <w:sz w:val="22"/>
          <w:u w:val="single"/>
        </w:rPr>
        <w:t>Schedule A</w:t>
      </w:r>
      <w:r>
        <w:rPr>
          <w:sz w:val="22"/>
        </w:rPr>
        <w:t>.</w:t>
      </w:r>
    </w:p>
    <w:p>
      <w:pPr>
        <w:pStyle w:val="Heading2"/>
        <w:numPr>
          <w:ilvl w:val="1"/>
          <w:numId w:val="11"/>
        </w:numPr>
        <w:spacing w:before="0" w:after="240"/>
        <w:ind w:firstLine="720" w:start="0" w:end="0"/>
        <w:rPr>
          <w:sz w:val="22"/>
        </w:rPr>
      </w:pPr>
      <w:r>
        <w:rPr>
          <w:b/>
          <w:sz w:val="22"/>
        </w:rPr>
        <w:t>Payment</w:t>
      </w:r>
      <w:r>
        <w:rPr>
          <w:sz w:val="22"/>
        </w:rPr>
        <w:t xml:space="preserve">.  Unless otherwise specified on </w:t>
      </w:r>
      <w:r>
        <w:rPr>
          <w:sz w:val="22"/>
          <w:u w:val="single"/>
        </w:rPr>
        <w:t>Schedule A</w:t>
      </w:r>
      <w:r>
        <w:rPr>
          <w:sz w:val="22"/>
        </w:rPr>
        <w:t>, all fees due EC Outlook hereunder shall be payable in United States’ dollars on the payment due date set forth herein.  All past due amounts will bear interest from the date payable until paid in full at a rate of one and one-half percent (1.5%) per month or the highest rate permitted by applicable law, whichever is less.</w:t>
      </w:r>
    </w:p>
    <w:p>
      <w:pPr>
        <w:pStyle w:val="Heading2"/>
        <w:numPr>
          <w:ilvl w:val="1"/>
          <w:numId w:val="11"/>
        </w:numPr>
        <w:spacing w:before="0" w:after="240"/>
        <w:ind w:firstLine="720" w:start="0" w:end="0"/>
        <w:rPr>
          <w:sz w:val="22"/>
        </w:rPr>
      </w:pPr>
      <w:r>
        <w:rPr>
          <w:b/>
          <w:sz w:val="22"/>
        </w:rPr>
        <w:t>Taxes</w:t>
      </w:r>
      <w:r>
        <w:rPr>
          <w:sz w:val="22"/>
        </w:rPr>
        <w:t xml:space="preserve">.  Any amounts due EC Outlook under this Agreement do not include any amounts for taxes.  Customer will promptly pay or reimburse EC Outlook if any duty, sales, use, value-added, excise, property, withholding or other tax, penalty or interest, however designated, is (or should ultimately be) assessed against or is levied upon: (a) the EDI Technology (or any portion thereof), or the use thereof or the resources used therefor; (b) EC Outlook’s charges for the EDI Technology; or (c) this Agreement.  Such amounts shall be indicated separately on invoices submitted by EC Outlook.  The provisions of this </w:t>
      </w:r>
      <w:r>
        <w:rPr>
          <w:sz w:val="22"/>
          <w:u w:val="single"/>
        </w:rPr>
        <w:t>Section 4</w:t>
      </w:r>
      <w:r>
        <w:rPr>
          <w:sz w:val="22"/>
        </w:rPr>
        <w:t xml:space="preserve"> do not apply to any franchise taxes or to taxes based on EC Outlook’s net income.</w:t>
      </w:r>
    </w:p>
    <w:p>
      <w:pPr>
        <w:pStyle w:val="Heading1"/>
        <w:numPr>
          <w:ilvl w:val="0"/>
          <w:numId w:val="11"/>
        </w:numPr>
        <w:spacing w:before="120" w:after="240"/>
        <w:ind w:hanging="0" w:start="0" w:end="0"/>
        <w:jc w:val="start"/>
        <w:rPr>
          <w:rFonts w:ascii="Times New Roman" w:hAnsi="Times New Roman" w:cs="Times New Roman"/>
          <w:sz w:val="22"/>
        </w:rPr>
      </w:pPr>
      <w:r>
        <w:rPr>
          <w:rFonts w:cs="Times New Roman" w:ascii="Times New Roman" w:hAnsi="Times New Roman"/>
          <w:sz w:val="22"/>
          <w:u w:val="single"/>
        </w:rPr>
        <w:t>TERMINATION.</w:t>
      </w:r>
    </w:p>
    <w:p>
      <w:pPr>
        <w:pStyle w:val="Heading2"/>
        <w:numPr>
          <w:ilvl w:val="1"/>
          <w:numId w:val="11"/>
        </w:numPr>
        <w:spacing w:before="0" w:after="240"/>
        <w:ind w:firstLine="720" w:start="0" w:end="0"/>
        <w:rPr>
          <w:sz w:val="22"/>
        </w:rPr>
      </w:pPr>
      <w:r>
        <w:rPr>
          <w:b/>
          <w:sz w:val="22"/>
        </w:rPr>
        <w:t>Term</w:t>
      </w:r>
      <w:r>
        <w:rPr>
          <w:sz w:val="22"/>
        </w:rPr>
        <w:t>.  The “</w:t>
      </w:r>
      <w:r>
        <w:rPr>
          <w:b/>
          <w:i/>
          <w:sz w:val="22"/>
        </w:rPr>
        <w:t>Initial Term</w:t>
      </w:r>
      <w:r>
        <w:rPr>
          <w:sz w:val="22"/>
        </w:rPr>
        <w:t xml:space="preserve">” of this Agreement begins on the Effective Date and, unless terminated earlier pursuant to </w:t>
      </w:r>
      <w:r>
        <w:rPr>
          <w:sz w:val="22"/>
          <w:u w:val="single"/>
        </w:rPr>
        <w:t>Section 5.2</w:t>
      </w:r>
      <w:r>
        <w:rPr>
          <w:sz w:val="22"/>
        </w:rPr>
        <w:t>, will terminate five (5) years after the Effective Date.  Thereafter, the Agreement will renew automatically for subsequent one (1) year terms (each a “</w:t>
      </w:r>
      <w:r>
        <w:rPr>
          <w:b/>
          <w:i/>
          <w:sz w:val="22"/>
        </w:rPr>
        <w:t>Renewal Term</w:t>
      </w:r>
      <w:r>
        <w:rPr>
          <w:sz w:val="22"/>
        </w:rPr>
        <w:t>”), unless either party gives notice of its intent to terminate no less than sixty (60) days prior to the end of the then-current term.  The Initial Term along with any subsequent Renewal Term(s) are referred to as the “</w:t>
      </w:r>
      <w:r>
        <w:rPr>
          <w:b/>
          <w:i/>
          <w:sz w:val="22"/>
        </w:rPr>
        <w:t>Term.</w:t>
      </w:r>
      <w:r>
        <w:rPr>
          <w:sz w:val="22"/>
        </w:rPr>
        <w:t>”</w:t>
      </w:r>
    </w:p>
    <w:p>
      <w:pPr>
        <w:pStyle w:val="Heading2"/>
        <w:numPr>
          <w:ilvl w:val="1"/>
          <w:numId w:val="11"/>
        </w:numPr>
        <w:spacing w:before="0" w:after="240"/>
        <w:ind w:firstLine="720" w:start="0" w:end="0"/>
        <w:rPr>
          <w:sz w:val="22"/>
        </w:rPr>
      </w:pPr>
      <w:r>
        <w:rPr>
          <w:b/>
          <w:sz w:val="22"/>
        </w:rPr>
        <w:t>Other Termination</w:t>
      </w:r>
      <w:r>
        <w:rPr>
          <w:sz w:val="22"/>
        </w:rPr>
        <w:t xml:space="preserve">.  This Agreement may be terminated by either party by providing written notice thereof:  (a) if the other party commits a material breach of this Agreement, which breach, if capable of being cured, is not cured within thirty (30) days of a written notice of termination; (b) within thirty (30) days if the other party terminates or suspends its business; (c) within thirty (30) days if the other party becomes insolvent, admits in writing its inability to pay its debts as they mature, makes an assignment for the benefit of creditors, or becomes subject to direct control of a trustee, receiver or similar authority; (d) if the other party becomes subject to any bankruptcy or insolvency proceeding under federal or state statutes which is not rescinded within forty-five (45) days; (e) immediately if the other party breaches any provision of </w:t>
      </w:r>
      <w:r>
        <w:rPr>
          <w:sz w:val="22"/>
          <w:u w:val="single"/>
        </w:rPr>
        <w:t>Section 6</w:t>
      </w:r>
      <w:r>
        <w:rPr>
          <w:sz w:val="22"/>
        </w:rPr>
        <w:t xml:space="preserve"> of this Agreement. </w:t>
      </w:r>
    </w:p>
    <w:p>
      <w:pPr>
        <w:pStyle w:val="Heading2"/>
        <w:numPr>
          <w:ilvl w:val="1"/>
          <w:numId w:val="11"/>
        </w:numPr>
        <w:spacing w:before="0" w:after="240"/>
        <w:ind w:firstLine="720" w:start="0" w:end="0"/>
        <w:rPr>
          <w:sz w:val="22"/>
        </w:rPr>
      </w:pPr>
      <w:r>
        <w:rPr>
          <w:b/>
          <w:sz w:val="22"/>
        </w:rPr>
        <w:t>Effect of Termination</w:t>
      </w:r>
      <w:r>
        <w:rPr>
          <w:sz w:val="22"/>
        </w:rPr>
        <w:t xml:space="preserve">.  Regarding sections (a) and (b) of this </w:t>
      </w:r>
      <w:r>
        <w:rPr>
          <w:sz w:val="22"/>
          <w:u w:val="single"/>
        </w:rPr>
        <w:t>Section 5.3</w:t>
      </w:r>
      <w:r>
        <w:rPr>
          <w:sz w:val="22"/>
        </w:rPr>
        <w:t xml:space="preserve">, except as provided in </w:t>
      </w:r>
      <w:r>
        <w:rPr>
          <w:sz w:val="22"/>
          <w:u w:val="single"/>
        </w:rPr>
        <w:t>Sections 7.2</w:t>
      </w:r>
      <w:r>
        <w:rPr>
          <w:sz w:val="22"/>
        </w:rPr>
        <w:t xml:space="preserve"> and </w:t>
      </w:r>
      <w:r>
        <w:rPr>
          <w:sz w:val="22"/>
          <w:u w:val="single"/>
        </w:rPr>
        <w:t>7.3</w:t>
      </w:r>
      <w:r>
        <w:rPr>
          <w:sz w:val="22"/>
        </w:rPr>
        <w:t xml:space="preserve"> herein, upon expiration or termination of this Agreement, (a) the License to Use and License to Change shall terminate immediately, (b) EC Outlook shall return all Confidential Information of Customer in its possession or control, and certify to Customer that it has complied with the provisions of this </w:t>
      </w:r>
      <w:r>
        <w:rPr>
          <w:sz w:val="22"/>
          <w:u w:val="single"/>
        </w:rPr>
        <w:t>Section 5</w:t>
      </w:r>
      <w:r>
        <w:rPr>
          <w:sz w:val="22"/>
        </w:rPr>
        <w:t xml:space="preserve">, and (c) Customer shall immediately pay to EC Outlook any and all outstanding fees, charges, payments and expenses due pursuant to this Agreement, return all EDI Technology and Confidential Information of EC Outlook in its (or its Trading Partners’) possession or control, and certify to EC Outlook that it has complied with the provisions of this </w:t>
      </w:r>
      <w:r>
        <w:rPr>
          <w:sz w:val="22"/>
          <w:u w:val="single"/>
        </w:rPr>
        <w:t>Section 5</w:t>
      </w:r>
      <w:r>
        <w:rPr>
          <w:sz w:val="22"/>
        </w:rPr>
        <w:t xml:space="preserve">. </w:t>
      </w:r>
    </w:p>
    <w:p>
      <w:pPr>
        <w:pStyle w:val="Heading2"/>
        <w:numPr>
          <w:ilvl w:val="1"/>
          <w:numId w:val="11"/>
        </w:numPr>
        <w:spacing w:before="0" w:after="240"/>
        <w:ind w:firstLine="720" w:start="0" w:end="0"/>
        <w:rPr>
          <w:sz w:val="22"/>
        </w:rPr>
      </w:pPr>
      <w:r>
        <w:rPr>
          <w:b/>
          <w:sz w:val="22"/>
        </w:rPr>
        <w:t>Survival</w:t>
      </w:r>
      <w:r>
        <w:rPr>
          <w:sz w:val="22"/>
        </w:rPr>
        <w:t xml:space="preserve">.  Any accrued payment obligations and the provisions of </w:t>
      </w:r>
      <w:r>
        <w:rPr>
          <w:sz w:val="22"/>
          <w:u w:val="single"/>
        </w:rPr>
        <w:t>Sections 5-9</w:t>
      </w:r>
      <w:r>
        <w:rPr>
          <w:sz w:val="22"/>
        </w:rPr>
        <w:t xml:space="preserve"> shall survive termination of this Agreement, except that </w:t>
      </w:r>
      <w:r>
        <w:rPr>
          <w:sz w:val="22"/>
          <w:u w:val="single"/>
        </w:rPr>
        <w:t>Section 6</w:t>
      </w:r>
      <w:r>
        <w:rPr>
          <w:sz w:val="22"/>
        </w:rPr>
        <w:t>, ‘Confidentiality’, shall survive until such Confidential Information has no commercial value.  Termination will not affect any right or remedy at law or in equity of either party.</w:t>
      </w:r>
    </w:p>
    <w:p>
      <w:pPr>
        <w:pStyle w:val="Heading1"/>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dot"/>
        </w:tabs>
        <w:spacing w:before="120" w:after="240"/>
        <w:ind w:hanging="0" w:start="0" w:end="0"/>
        <w:jc w:val="start"/>
        <w:rPr>
          <w:rFonts w:ascii="Times New Roman" w:hAnsi="Times New Roman" w:cs="Times New Roman"/>
          <w:sz w:val="22"/>
        </w:rPr>
      </w:pPr>
      <w:r>
        <w:rPr>
          <w:rFonts w:cs="Times New Roman" w:ascii="Times New Roman" w:hAnsi="Times New Roman"/>
          <w:sz w:val="22"/>
          <w:u w:val="single"/>
        </w:rPr>
        <w:t>CONFIDENTIALITY.</w:t>
      </w:r>
    </w:p>
    <w:p>
      <w:pPr>
        <w:pStyle w:val="Heading2"/>
        <w:numPr>
          <w:ilvl w:val="1"/>
          <w:numId w:val="11"/>
        </w:numPr>
        <w:spacing w:before="0" w:after="240"/>
        <w:ind w:firstLine="720" w:start="0" w:end="0"/>
        <w:rPr>
          <w:sz w:val="22"/>
        </w:rPr>
      </w:pPr>
      <w:r>
        <w:rPr>
          <w:sz w:val="22"/>
        </w:rPr>
        <w:t xml:space="preserve">As between the parties, the Confidential Information of each party will remain its sole property.  Confidential Information will be used by the recipient party only for purposes of, or as otherwise authorized by, this Agreement.  Each party will hold the Confidential Information of the other party in confidence and protect such Confidential Information from disclosure using the same care it uses to protect its own confidential information of like importance, but not less than reasonable care.  No Confidential Information will be disclosed by the recipient party without the prior written consent of the other party, except that each party may disclose this Agreement and the other party’s Confidential Information to its directors, employees, attorneys, agents, auditors, insurers and subcontractors who require access to such information in connection with their employment or engagement and who are obligated to keep such information confidential in a manner no less restrictive than set forth in this </w:t>
      </w:r>
      <w:r>
        <w:rPr>
          <w:sz w:val="22"/>
          <w:u w:val="single"/>
        </w:rPr>
        <w:t>Section 6.1</w:t>
      </w:r>
      <w:r>
        <w:rPr>
          <w:sz w:val="22"/>
        </w:rPr>
        <w:t>.  The party employing or engaging such persons is responsible and liable for their compliance with such confidentiality obligations.</w:t>
      </w:r>
    </w:p>
    <w:p>
      <w:pPr>
        <w:pStyle w:val="Heading2"/>
        <w:numPr>
          <w:ilvl w:val="1"/>
          <w:numId w:val="11"/>
        </w:numPr>
        <w:spacing w:before="0" w:after="240"/>
        <w:ind w:firstLine="720" w:start="0" w:end="0"/>
        <w:rPr>
          <w:sz w:val="22"/>
        </w:rPr>
      </w:pPr>
      <w:r>
        <w:rPr>
          <w:sz w:val="22"/>
        </w:rPr>
        <w:t>The parties recognize and agree that the use or disclosure of any Confidential Information of a party in a manner inconsistent with the provisions of this Agreement may cause the disclosing party irreparable damage for which adequate remedy at law may not be available.  Accordingly, each party shall be entitled to seek temporary and/or permanent injunctive relief against such breach or violation from any court of competent jurisdiction immediately upon request.  The right of each party to seek injunctive relief shall not limit in any manner that party’s right to seek other and/or additional remedies at law or in equity.  If Confidential Information is required to be disclosed by law or a governmental authority, including pursuant to a subpoena or court order, such Confidential Information may be disclosed, provided that the party required to disclose the Confidential Information: (a) promptly notifies the disclosing party of the disclosure requirement; (b) cooperates with the disclosing party’s reasonable efforts to resist or narrow the disclosure and to obtain an order or other reliable assurance that confidential treatment will be accorded the disclosing party’s Confidential Information; and (c) furnishes only Confidential Information that the party is legally compelled to disclose according to advice of its legal counsel.  Upon written request at the expiration or termination of this Agreement, all documented Confidential Information (and all copies thereof) owned by the requesting party will be returned or destroyed by the recipient party, with written certification thereof.</w:t>
      </w:r>
    </w:p>
    <w:p>
      <w:pPr>
        <w:pStyle w:val="Heading1"/>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dot"/>
        </w:tabs>
        <w:spacing w:before="120" w:after="240"/>
        <w:ind w:hanging="0" w:start="0" w:end="0"/>
        <w:jc w:val="start"/>
        <w:rPr>
          <w:rFonts w:ascii="Times New Roman" w:hAnsi="Times New Roman" w:cs="Times New Roman"/>
          <w:sz w:val="22"/>
        </w:rPr>
      </w:pPr>
      <w:r>
        <w:rPr>
          <w:rFonts w:cs="Times New Roman" w:ascii="Times New Roman" w:hAnsi="Times New Roman"/>
          <w:sz w:val="22"/>
          <w:u w:val="single"/>
        </w:rPr>
        <w:t>ownershiP AND ESCROW.</w:t>
      </w:r>
    </w:p>
    <w:p>
      <w:pPr>
        <w:pStyle w:val="Heading2"/>
        <w:numPr>
          <w:ilvl w:val="1"/>
          <w:numId w:val="11"/>
        </w:numPr>
        <w:spacing w:before="0" w:after="240"/>
        <w:ind w:firstLine="720" w:start="0" w:end="0"/>
        <w:rPr>
          <w:sz w:val="22"/>
        </w:rPr>
      </w:pPr>
      <w:r>
        <w:rPr>
          <w:b/>
          <w:sz w:val="22"/>
        </w:rPr>
        <w:t>Intellectual Property Ownership</w:t>
      </w:r>
      <w:r>
        <w:rPr>
          <w:sz w:val="22"/>
        </w:rPr>
        <w:t>.  All rights, title, and interest in and to the EDI Technology, including, but not limited to, Intellectual Property Rights, are and shall remain the sole and exclusive property of EC Outlook.  Customer shall have no interest whatsoever in the EDI Technology or EC Outlook’s Intellectual Property Rights and Derivative Works except as expressly provided in this Agreement.  EC Outlook shall have all rights, title and interest in and to any modification, enhancement, Derivative Work, or any other change, of any type, of the EDI Technology, regardless (a) of the identity of the creating party and (b) whether such modification, enhancement, Derivative Work, or any other change, of any type, was made pursuant to the License to Change.</w:t>
      </w:r>
    </w:p>
    <w:p>
      <w:pPr>
        <w:pStyle w:val="Heading2"/>
        <w:numPr>
          <w:ilvl w:val="1"/>
          <w:numId w:val="11"/>
        </w:numPr>
        <w:spacing w:before="0" w:after="240"/>
        <w:ind w:firstLine="720" w:start="0" w:end="0"/>
        <w:rPr>
          <w:sz w:val="22"/>
        </w:rPr>
      </w:pPr>
      <w:r>
        <w:rPr>
          <w:b/>
          <w:sz w:val="22"/>
        </w:rPr>
        <w:t>Escrow</w:t>
      </w:r>
      <w:r>
        <w:rPr>
          <w:sz w:val="22"/>
        </w:rPr>
        <w:t>.  Upon Customer’s request, and on condition of Customer’s payment of escrow costs, EC Outlook agrees to execute a technology escrow agreement with Customer and a third party escrow agent whereby (a) EC Outlook will deposit a copy of the EDI Technology with the escrow agent, (b) update the EDI Technology deposit every three (3) months, and (c) instruct the escrow agent to deliver the most recent copy of the EDI Technology to Customer when a Standard Conversion Event occurs.  A “</w:t>
      </w:r>
      <w:r>
        <w:rPr>
          <w:b/>
          <w:i/>
          <w:sz w:val="22"/>
        </w:rPr>
        <w:t>Standard Conversion Event</w:t>
      </w:r>
      <w:r>
        <w:rPr>
          <w:sz w:val="22"/>
        </w:rPr>
        <w:t xml:space="preserve">” shall be defined to occur when (a) EC Outlook submits a written request to the escrow agent to transfer the EDI Technology copy to Customer, (b) EC Outlook ceases to carry on its business for thirty (30) consecutive business days, or (c) EC Outlook fails or is otherwise unable to provide Customer with services related to the EDI Technology which EC Outlook is contractually obligated to provide, which inability continues for thirty (30) days after Customer notifies EC Outlook in writing of the alleged failure to provide service.  </w:t>
      </w:r>
    </w:p>
    <w:p>
      <w:pPr>
        <w:pStyle w:val="Heading2"/>
        <w:numPr>
          <w:ilvl w:val="1"/>
          <w:numId w:val="11"/>
        </w:numPr>
        <w:spacing w:before="0" w:after="240"/>
        <w:ind w:firstLine="720" w:start="0" w:end="0"/>
        <w:rPr>
          <w:sz w:val="22"/>
        </w:rPr>
      </w:pPr>
      <w:r>
        <w:rPr>
          <w:b/>
          <w:sz w:val="22"/>
        </w:rPr>
        <w:t>License Following Escrow Delivery</w:t>
      </w:r>
      <w:r>
        <w:rPr>
          <w:sz w:val="22"/>
        </w:rPr>
        <w:t>.  Upon delivery of the EDI Technology deposit to Customer following a Standard Conversion Event, Customer shall have a license to use the EDI Technology in accordance with the provisions of this Agreement.  However, even after such delivery, as between EC Outlook and Customer, EC Outlook shall retain exclusive ownership of all Intellectual Property Rights in and related to the EDI Technology, and any enhancements or modifications thereto or Derivative Works thereof, in accordance with the provisions of this Agreement.</w:t>
      </w:r>
    </w:p>
    <w:p>
      <w:pPr>
        <w:pStyle w:val="Heading2"/>
        <w:numPr>
          <w:ilvl w:val="1"/>
          <w:numId w:val="11"/>
        </w:numPr>
        <w:spacing w:before="0" w:after="240"/>
        <w:ind w:firstLine="720" w:start="0" w:end="0"/>
        <w:rPr>
          <w:sz w:val="22"/>
        </w:rPr>
      </w:pPr>
      <w:r>
        <w:rPr>
          <w:b/>
          <w:sz w:val="22"/>
        </w:rPr>
        <w:t>Infringement Escrow</w:t>
      </w:r>
      <w:r>
        <w:rPr>
          <w:sz w:val="22"/>
        </w:rPr>
        <w:t>.  As soon as practicable after the Effective Date, but no longer than 120 days thereafter, and on condition of Customer’s payment of escrow costs, EC Outlook agrees to execute a technology escrow agreement with Customer and a third party escrow agent whereby EC Outlook will (a) deposit two copies of the Software source code as it exists on the Effective Date (“</w:t>
      </w:r>
      <w:r>
        <w:rPr>
          <w:b/>
          <w:i/>
          <w:sz w:val="22"/>
        </w:rPr>
        <w:t>Legacy Escrow Software</w:t>
      </w:r>
      <w:r>
        <w:rPr>
          <w:sz w:val="22"/>
        </w:rPr>
        <w:t>”) with the escrow agent, (b) deposit and update every three (3) months two copies of the Software source code (“</w:t>
      </w:r>
      <w:r>
        <w:rPr>
          <w:b/>
          <w:i/>
          <w:sz w:val="22"/>
        </w:rPr>
        <w:t>Current Escrow Software</w:t>
      </w:r>
      <w:r>
        <w:rPr>
          <w:sz w:val="22"/>
        </w:rPr>
        <w:t>”) with the escrow agent, and (c) instruct the escrow agent to release one copy of the Legacy Escrow Software and one copy of the Current Escrow Software to EC Outlook when an Infringement Conversion Event occurs.  An “</w:t>
      </w:r>
      <w:r>
        <w:rPr>
          <w:b/>
          <w:i/>
          <w:sz w:val="22"/>
        </w:rPr>
        <w:t>Infringement Conversion Event</w:t>
      </w:r>
      <w:r>
        <w:rPr>
          <w:sz w:val="22"/>
        </w:rPr>
        <w:t>” shall be defined to occur when:  (a) a third party asserts a claim, demand or suit against Customer alleging that the Software infringes one or more of the third party’s intellectual property rights, provided that Customer provides prompt written notice to EC Outlook of said claim, demand, or suit; or (b) a third party asserts a claim, demand, or suit against EC Outlook alleging that the Software infringes one or more of the third party’s intellectual property rights, and EC Outlook notifies Customer that it is invoking Customer’s related indemnification obligation.  Customer will have the right, within a reasonable time of such Infringement Conversion Event, to inspect the Legacy Escrow Software and the Current Escrow Software in the presence of a representative of EC Outlook for the sole purpose of determining the relevant content of the Software for the purpose of investigating or defending the asserted claim, demand, or suit, following which inspection EC Outlook’s representative shall return the Legacy Escrow Software and the Current Escrow Software to the escrow agent.  Customer agrees: (a) to require those individual(s) who inspect the Software to comply with confidentiality and nondisclosure requirements at least as restrictive of those EC Outlook would or does require of individuals who access EC Outlook’s Software source code; and (b) not to use the Legacy Escrow Software and/or the Current Escrow Software in any way whatsoever, except as expressly described herein.</w:t>
      </w:r>
    </w:p>
    <w:p>
      <w:pPr>
        <w:pStyle w:val="Heading1"/>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dot"/>
        </w:tabs>
        <w:spacing w:before="120" w:after="240"/>
        <w:ind w:hanging="0" w:start="0" w:end="0"/>
        <w:jc w:val="start"/>
        <w:rPr>
          <w:rFonts w:ascii="Times New Roman" w:hAnsi="Times New Roman" w:cs="Times New Roman"/>
          <w:sz w:val="22"/>
        </w:rPr>
      </w:pPr>
      <w:r>
        <w:rPr>
          <w:rFonts w:cs="Times New Roman" w:ascii="Times New Roman" w:hAnsi="Times New Roman"/>
          <w:sz w:val="22"/>
          <w:u w:val="single"/>
        </w:rPr>
        <w:t>WARRANTIES, DISCLAIMERS, INDEMNITIES AND LIABILITY LIMITATIONS.</w:t>
      </w:r>
    </w:p>
    <w:p>
      <w:pPr>
        <w:pStyle w:val="Heading2"/>
        <w:numPr>
          <w:ilvl w:val="1"/>
          <w:numId w:val="11"/>
        </w:numPr>
        <w:spacing w:before="0" w:after="240"/>
        <w:ind w:firstLine="720" w:start="0" w:end="0"/>
        <w:rPr>
          <w:sz w:val="22"/>
        </w:rPr>
      </w:pPr>
      <w:r>
        <w:rPr>
          <w:b/>
          <w:sz w:val="22"/>
        </w:rPr>
        <w:t>General Warranties</w:t>
      </w:r>
      <w:r>
        <w:rPr>
          <w:sz w:val="22"/>
        </w:rPr>
        <w:t xml:space="preserve">.  Each party hereby represents and warrants to the other that: (a) it has the corporate power and authority and the legal right to enter into this Agreement and to perform its obligations hereunder and has taken all necessary corporate action on its part to authorize the execution and delivery of this Agreement and the performance of its obligations hereunder; and (b) the execution and delivery of this Agreement and the performance of such party’s obligations hereunder (i) do not and will not conflict with or violate any requirement of applicable laws or regulations, and (ii) do not and will not conflict with, or constitute a default under, any contractual obligations of it.  </w:t>
      </w:r>
    </w:p>
    <w:p>
      <w:pPr>
        <w:pStyle w:val="Heading2"/>
        <w:numPr>
          <w:ilvl w:val="1"/>
          <w:numId w:val="11"/>
        </w:numPr>
        <w:spacing w:before="0" w:after="240"/>
        <w:ind w:firstLine="720" w:start="0" w:end="0"/>
        <w:rPr>
          <w:sz w:val="22"/>
        </w:rPr>
      </w:pPr>
      <w:r>
        <w:rPr>
          <w:b/>
          <w:sz w:val="22"/>
        </w:rPr>
        <w:t>Customer Warranties</w:t>
      </w:r>
      <w:r>
        <w:rPr>
          <w:sz w:val="22"/>
        </w:rPr>
        <w:t>.  Customer represents and warrants: (a) Customer will exercise its rights under the License to Change in a commercially reasonable manner; and (b) Customer shall, and shall cause its Trading Partners to, comply with all laws, regulations and other legal requirements that apply to this Agreement and Customer’s and its Trading Partners’ use of the EDI Technology, including, without limitation, privacy laws and regulations, national security controls, export and import restrictions, and other regulations of any government agencies or authorities of those jurisdictions in which Customer accesses and uses the EDI Technology.</w:t>
      </w:r>
    </w:p>
    <w:p>
      <w:pPr>
        <w:pStyle w:val="Heading2"/>
        <w:numPr>
          <w:ilvl w:val="1"/>
          <w:numId w:val="11"/>
        </w:numPr>
        <w:tabs>
          <w:tab w:val="clear" w:pos="720"/>
          <w:tab w:val="left" w:pos="540" w:leader="none"/>
        </w:tabs>
        <w:spacing w:before="0" w:after="240"/>
        <w:ind w:firstLine="720" w:start="0" w:end="0"/>
        <w:rPr>
          <w:sz w:val="22"/>
        </w:rPr>
      </w:pPr>
      <w:r>
        <w:rPr>
          <w:b/>
          <w:sz w:val="22"/>
        </w:rPr>
        <w:t>EC Outlook Warranties</w:t>
      </w:r>
      <w:r>
        <w:rPr>
          <w:sz w:val="22"/>
        </w:rPr>
        <w:t xml:space="preserve">.  EC Outlook makes no express warranties of any kind under this Agreement.  </w:t>
      </w:r>
    </w:p>
    <w:p>
      <w:pPr>
        <w:pStyle w:val="Heading2"/>
        <w:numPr>
          <w:ilvl w:val="1"/>
          <w:numId w:val="11"/>
        </w:numPr>
        <w:tabs>
          <w:tab w:val="clear" w:pos="720"/>
          <w:tab w:val="left" w:pos="540" w:leader="none"/>
        </w:tabs>
        <w:spacing w:before="0" w:after="240"/>
        <w:ind w:firstLine="720" w:start="0" w:end="0"/>
        <w:rPr>
          <w:sz w:val="22"/>
        </w:rPr>
      </w:pPr>
      <w:r>
        <w:rPr>
          <w:b/>
          <w:sz w:val="22"/>
        </w:rPr>
        <w:t>Disclaimer</w:t>
      </w:r>
      <w:r>
        <w:rPr>
          <w:sz w:val="22"/>
        </w:rPr>
        <w:t xml:space="preserve">.  Under this Agreement EC Outlook does not warrant the operation or functionality of the EDI Technology in any way, including, but not limited to, any warranty that the EDI Technology will be error free, that Customer will be able to operate the EDI Technology without experiencing problems or interruptions, or that the EDI Technology is not susceptible to intrusion, attack or computer virus infection.  EC Outlook’s charges under this Agreement do not include insurance for these inherent risks.  EXCEPT FOR THE LIMITED WARRANTY DESCRIBED IN THIS </w:t>
      </w:r>
      <w:r>
        <w:rPr>
          <w:sz w:val="22"/>
          <w:u w:val="single"/>
        </w:rPr>
        <w:t>SECTION 8</w:t>
      </w:r>
      <w:r>
        <w:rPr>
          <w:sz w:val="22"/>
        </w:rPr>
        <w:t xml:space="preserve"> AND TO THE EXTENT ALLOWED BY APPLICABLE LAW, THE EDI TECHNOLOGY AND THE DOCUMENTATION ARE PROVIDED “AS IS,” AND EC OUTLOOK MAKES NO OTHER WARRANTIES, EXPRESS, IMPLIED OR STATUTORY, AND EXPRESSLY DISCLAIMS ANY IMPLIED WARRANTIES OF MERCHANTABILITY, FITNESS FOR A PARTICULAR PURPOSE, NONINFRINGEMENT OR ACCURACY, AS WELL AS ANY WARRANTIES ARISING FROM A COURSE OF DEALING, USAGE OR TRADE PRACTICE.</w:t>
      </w:r>
    </w:p>
    <w:p>
      <w:pPr>
        <w:pStyle w:val="Heading2"/>
        <w:numPr>
          <w:ilvl w:val="1"/>
          <w:numId w:val="11"/>
        </w:numPr>
        <w:tabs>
          <w:tab w:val="clear" w:pos="720"/>
          <w:tab w:val="left" w:pos="540" w:leader="none"/>
        </w:tabs>
        <w:spacing w:before="0" w:after="240"/>
        <w:ind w:firstLine="720" w:start="0" w:end="0"/>
        <w:rPr>
          <w:sz w:val="22"/>
        </w:rPr>
      </w:pPr>
      <w:r>
        <w:rPr>
          <w:b/>
          <w:sz w:val="22"/>
        </w:rPr>
        <w:t>Remedy</w:t>
      </w:r>
      <w:r>
        <w:rPr>
          <w:sz w:val="22"/>
        </w:rPr>
        <w:t xml:space="preserve">.  UNDER THIS AGREEMENT, EC OUTLOOK SHALL NOT BE OBLIGATED TO PERFORM ANY REPAIRS TO OR MAINTENANCE, MODIFICATION, OR ENHANCEMENT OF, THE EDI TECHNOLOGY DURING THE TERM, FOR ANY REASON WHATSOEVER.  CUSTOMER’S EXCLUSIVE REMEDIES UNDER THIS AGREEMENT ARE DEFINED IN </w:t>
      </w:r>
      <w:r>
        <w:rPr>
          <w:sz w:val="22"/>
          <w:u w:val="single"/>
        </w:rPr>
        <w:t>SECTIONS 5.2</w:t>
      </w:r>
      <w:r>
        <w:rPr>
          <w:sz w:val="22"/>
        </w:rPr>
        <w:t xml:space="preserve"> AND </w:t>
      </w:r>
      <w:r>
        <w:rPr>
          <w:sz w:val="22"/>
          <w:u w:val="single"/>
        </w:rPr>
        <w:t>6.2</w:t>
      </w:r>
      <w:r>
        <w:rPr>
          <w:sz w:val="22"/>
        </w:rPr>
        <w:t>.  CUSTOMER ACKNOWLEDGES AND ACCEPTS THE RISK OF FAILURES OF THE EDI TECHNOLOGY AND WAIVES ALL REMEDIES THEREFOR UNDER THIS AGREEMENT.</w:t>
      </w:r>
    </w:p>
    <w:p>
      <w:pPr>
        <w:pStyle w:val="Heading2"/>
        <w:numPr>
          <w:ilvl w:val="1"/>
          <w:numId w:val="11"/>
        </w:numPr>
        <w:tabs>
          <w:tab w:val="clear" w:pos="720"/>
          <w:tab w:val="left" w:pos="540" w:leader="none"/>
        </w:tabs>
        <w:spacing w:before="0" w:after="240"/>
        <w:ind w:firstLine="720" w:start="0" w:end="0"/>
        <w:rPr>
          <w:sz w:val="22"/>
        </w:rPr>
      </w:pPr>
      <w:r>
        <w:rPr>
          <w:b/>
          <w:sz w:val="22"/>
        </w:rPr>
        <w:t>Limitation on Liability</w:t>
      </w:r>
      <w:r>
        <w:rPr>
          <w:sz w:val="22"/>
        </w:rPr>
        <w:t xml:space="preserve">.  Each party agrees that regardless of the form of any claim that the other party may have under this Agreement or otherwise, except for a violation of </w:t>
      </w:r>
      <w:r>
        <w:rPr>
          <w:sz w:val="22"/>
          <w:u w:val="single"/>
        </w:rPr>
        <w:t>Section 6</w:t>
      </w:r>
      <w:r>
        <w:rPr>
          <w:sz w:val="22"/>
        </w:rPr>
        <w:t xml:space="preserve"> of this Agreement, for which liability is not limited pursuant to this </w:t>
      </w:r>
      <w:r>
        <w:rPr>
          <w:sz w:val="22"/>
          <w:u w:val="single"/>
        </w:rPr>
        <w:t>Section 8.6</w:t>
      </w:r>
      <w:r>
        <w:rPr>
          <w:sz w:val="22"/>
        </w:rPr>
        <w:t>, a party’s aggregate liability for any damages to the other party or to any other party shall not exceed the fees due to be paid EC Outlook under this Agreement during the twelve (12) month period immediately preceding the date of the claim.  Under this Agreement a party shall not be responsible, and will bear no liability, for (a) any damages of any kind whatsoever associated with or caused by a change to the Software made by Customer, notwithstanding EC Outlook’s right of approval of any such change, and (b) stoppages, slowdowns, performance problems and other problems that are the result of the EDI Technology.  TO THE EXTENT ALLOWED BY APPLICABLE LAW, A PARTY WILL NOT BE LIABLE OR RESPONSIBLE FOR ANY COST TO PROCURE SUBSTITUTE GOODS, SERVICES AND/OR TECHNOLOGY, AND/OR SPECIAL, INDIRECT, INCIDENTAL, EXEMPLARY, PUNITIVE, OR CONSEQUENTIAL DAMAGES, SUCH AS, BUT NOT LIMITED TO, LOSS OF PROFITS RESULTING FROM THE USE OF THE EDI TECHNOLOGY, OR ARISING OUT OF ANY BREACH OF THIS AGREEMENT OR THE LIMITED WARRANTIES SET FORTH HEREIN, EVEN IF THE PARTY HAS BEEN ADVISED OF THE POSSIBILITY OF SUCH DAMAGES.  THE FOREGOING LIMITATION ON DAMAGES SHALL NOT APPLY TO ANY INDEMNITY, AND EITHER PARTY’S GROSS NEGLIGENCE OR INTENTIONAL MISCONDUCT.</w:t>
      </w:r>
    </w:p>
    <w:p>
      <w:pPr>
        <w:pStyle w:val="Heading2"/>
        <w:numPr>
          <w:ilvl w:val="1"/>
          <w:numId w:val="11"/>
        </w:numPr>
        <w:tabs>
          <w:tab w:val="left" w:pos="720" w:leader="none"/>
        </w:tabs>
        <w:spacing w:before="60" w:after="240"/>
        <w:ind w:firstLine="720" w:start="0" w:end="0"/>
        <w:rPr>
          <w:sz w:val="22"/>
        </w:rPr>
      </w:pPr>
      <w:r>
        <w:rPr>
          <w:b/>
          <w:sz w:val="22"/>
        </w:rPr>
        <w:t>Intellectual Property Indemnification</w:t>
      </w:r>
      <w:r>
        <w:rPr>
          <w:sz w:val="22"/>
        </w:rPr>
        <w:t xml:space="preserve">.  </w:t>
      </w:r>
    </w:p>
    <w:p>
      <w:pPr>
        <w:pStyle w:val="Heading3"/>
        <w:numPr>
          <w:ilvl w:val="2"/>
          <w:numId w:val="11"/>
        </w:numPr>
        <w:tabs>
          <w:tab w:val="clear" w:pos="720"/>
        </w:tabs>
        <w:ind w:hanging="0" w:start="0"/>
        <w:rPr>
          <w:sz w:val="22"/>
        </w:rPr>
      </w:pPr>
      <w:r>
        <w:rPr>
          <w:sz w:val="22"/>
        </w:rPr>
        <w:t>Customer agrees to indemnify, defend, protect, save and hold harmless EC Outlook and EC Outlook’s subsidiaries or affiliates under its control, and their directors, officers, employees and agents, against any and all losses, liabilities, judgments, awards and costs (including legal fees and expenses) arising out of or related to any claim that any EDI Technology (a) made or provided by Customer (or its agents), or (b) made or provided by EC Outlook (or its agents) under Customer’s signed writing setting forth specific changes (“</w:t>
      </w:r>
      <w:r>
        <w:rPr>
          <w:b/>
          <w:i/>
          <w:sz w:val="22"/>
        </w:rPr>
        <w:t>Customer’s Direction</w:t>
      </w:r>
      <w:r>
        <w:rPr>
          <w:sz w:val="22"/>
        </w:rPr>
        <w:t xml:space="preserve">”), infringes or violates the copyright, trade secret, patent or any other proprietary right of any third party.  </w:t>
      </w:r>
    </w:p>
    <w:p>
      <w:pPr>
        <w:pStyle w:val="Heading3"/>
        <w:numPr>
          <w:ilvl w:val="2"/>
          <w:numId w:val="11"/>
        </w:numPr>
        <w:tabs>
          <w:tab w:val="clear" w:pos="720"/>
        </w:tabs>
        <w:ind w:hanging="0" w:start="0"/>
        <w:rPr>
          <w:sz w:val="22"/>
        </w:rPr>
      </w:pPr>
      <w:r>
        <w:rPr>
          <w:sz w:val="22"/>
        </w:rPr>
        <w:t xml:space="preserve">Regarding any and all other potential EC Outlook licensees of the EDI Technology that are unrelated to Customer, the foregoing Customer indemnification obligation shall not apply to similar claims that ultimately require reliance in part or in whole on changes to the EDI Technology made after the Actual Service Date, as that term is defined in the agreement between the parties entitled “EC Outlook EDI Operating Agreement,” whether or not such change(s) was/were made under Customer’s Direction.   </w:t>
      </w:r>
    </w:p>
    <w:p>
      <w:pPr>
        <w:pStyle w:val="Heading3"/>
        <w:numPr>
          <w:ilvl w:val="2"/>
          <w:numId w:val="11"/>
        </w:numPr>
        <w:tabs>
          <w:tab w:val="clear" w:pos="720"/>
        </w:tabs>
        <w:ind w:hanging="0" w:start="0"/>
        <w:rPr>
          <w:sz w:val="22"/>
        </w:rPr>
      </w:pPr>
      <w:r>
        <w:rPr>
          <w:sz w:val="22"/>
        </w:rPr>
        <w:t xml:space="preserve">Regarding Customer’s license of the EDI Technology, EC Outlook agrees to indemnify, defend, protect, save and hold harmless Customer and Customer’s subsidiaries or affiliates under its control, and their directors, officers, employees and agents, against any and all losses, liabilities, judgments, awards and costs (including legal fees and expenses) arising out of or related to any claim that any change of the EDI Technolgy provided by EC Outlook (or its agents), which change was not provided under Customer’s Direction, infringes or violates the copyright, trade secret, patent or any other proprietary right of any third party.  </w:t>
      </w:r>
    </w:p>
    <w:p>
      <w:pPr>
        <w:pStyle w:val="Heading3"/>
        <w:numPr>
          <w:ilvl w:val="2"/>
          <w:numId w:val="11"/>
        </w:numPr>
        <w:tabs>
          <w:tab w:val="clear" w:pos="720"/>
        </w:tabs>
        <w:ind w:hanging="0" w:start="0"/>
        <w:rPr>
          <w:sz w:val="22"/>
        </w:rPr>
      </w:pPr>
      <w:r>
        <w:rPr>
          <w:sz w:val="22"/>
        </w:rPr>
        <w:t xml:space="preserve">Regarding any and all other potential EC Outlook licensees of the EDI Technology that are unrelated to Customer, EC Outlook agrees to indemnify, defend, protect, save and hold harmless Customer and Customer’s subsidiaries or affiliates under its control, and their directors, officers, employees and agents, against any and all losses, liabilities, judgments, awards and costs (including legal fees and expenses) arising out of or related to any claim that any of the EDI Technology that ultimately requires reliance in part or in whole on changes to the EDI Technology made after the Actual Service Date, whether or not such change(s) was/were made under Customer’s Direction, infringes or violates the copyright, trade secret, patent or any other proprietary right of any third party.  </w:t>
      </w:r>
    </w:p>
    <w:p>
      <w:pPr>
        <w:pStyle w:val="Heading3"/>
        <w:numPr>
          <w:ilvl w:val="2"/>
          <w:numId w:val="11"/>
        </w:numPr>
        <w:tabs>
          <w:tab w:val="clear" w:pos="720"/>
        </w:tabs>
        <w:ind w:hanging="0" w:start="0"/>
        <w:rPr>
          <w:sz w:val="22"/>
        </w:rPr>
      </w:pPr>
      <w:r>
        <w:rPr>
          <w:sz w:val="22"/>
        </w:rPr>
        <w:t xml:space="preserve">The indemnifying party shall defend and settle at its sole expense all suits or proceedings arising in whole or in part out of the foregoing, provided that the indemnified party gives the indemnifying party reasonably prompt notice of any such claim of which it learns.  This obligation of indemnification shall survive even if the indemnified party does not provide the indemnifying party with reasonably prompt notice of any such claim of which the indemnified party learns so long as such failure does not materially prejudice the indemnifying party.  When a party is in fact indemnifying the other party, the indemnified party reserves the right to retain counsel, at the indemnified party’s sole expense, to participate in the defense of any such claim.  The indemnifying party will not settle any such claim or alleged claim without first obtaining the indemnified party’s prior written consent, which consent shall not be unreasonably withheld or delayed, if the terms of such settlement would adversely affect the indemnified party’s rights under this Agreement.  THE FOREGOING PROVISIONS OF THIS </w:t>
      </w:r>
      <w:r>
        <w:rPr>
          <w:sz w:val="22"/>
          <w:u w:val="single"/>
        </w:rPr>
        <w:t>SECTION 8</w:t>
      </w:r>
      <w:r>
        <w:rPr>
          <w:sz w:val="22"/>
        </w:rPr>
        <w:t xml:space="preserve"> STATE THE ENTIRE LIABILITY AND OBLIGATIONS OF THE PARTIES, AND THEIR EXCLUSIVE REMEDY, WITH RESPECT TO ANY INFRINGEMENT OR ALLEGED INFRINGEMENT OF ANY THIRD PARTY RIGHTS ASSOCIATED IN ANY WAY WITH THE EDI TECHNOLOGY UNDER THIS AGREEMENT.</w:t>
      </w:r>
    </w:p>
    <w:p>
      <w:pPr>
        <w:pStyle w:val="Heading1"/>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dot"/>
        </w:tabs>
        <w:spacing w:before="120" w:after="240"/>
        <w:ind w:hanging="0" w:start="0" w:end="0"/>
        <w:jc w:val="start"/>
        <w:rPr>
          <w:rFonts w:ascii="Times New Roman" w:hAnsi="Times New Roman" w:cs="Times New Roman"/>
          <w:sz w:val="22"/>
        </w:rPr>
      </w:pPr>
      <w:r>
        <w:rPr>
          <w:rFonts w:cs="Times New Roman" w:ascii="Times New Roman" w:hAnsi="Times New Roman"/>
          <w:sz w:val="22"/>
          <w:u w:val="single"/>
        </w:rPr>
        <w:t>GENERAL.</w:t>
      </w:r>
    </w:p>
    <w:p>
      <w:pPr>
        <w:pStyle w:val="Heading2"/>
        <w:numPr>
          <w:ilvl w:val="1"/>
          <w:numId w:val="11"/>
        </w:numPr>
        <w:tabs>
          <w:tab w:val="clear" w:pos="720"/>
          <w:tab w:val="left" w:pos="540" w:leader="none"/>
        </w:tabs>
        <w:spacing w:before="0" w:after="240"/>
        <w:ind w:firstLine="720" w:start="0" w:end="0"/>
        <w:rPr>
          <w:sz w:val="22"/>
        </w:rPr>
      </w:pPr>
      <w:r>
        <w:rPr>
          <w:b/>
          <w:sz w:val="22"/>
        </w:rPr>
        <w:t>Assignment</w:t>
      </w:r>
      <w:r>
        <w:rPr>
          <w:sz w:val="22"/>
        </w:rPr>
        <w:t>.  Neither party may transfer, assign, or otherwise dispose of this Agreement, or any of its rights or obligations hereunder, without the prior written consent of the other party; provided, however, that either party may transfer all of its rights or obligations hereunder to a successor to substantially all of the assets and business of that party; and except that the parties agree and anticipate that EC Outlook may fulfill its obligations under this Agreement (either partially or completely) through the efforts of, or by contract with, third parties.</w:t>
      </w:r>
    </w:p>
    <w:p>
      <w:pPr>
        <w:pStyle w:val="Heading2"/>
        <w:numPr>
          <w:ilvl w:val="1"/>
          <w:numId w:val="11"/>
        </w:numPr>
        <w:tabs>
          <w:tab w:val="clear" w:pos="720"/>
          <w:tab w:val="left" w:pos="540" w:leader="none"/>
        </w:tabs>
        <w:spacing w:before="0" w:after="240"/>
        <w:ind w:firstLine="720" w:start="0" w:end="0"/>
        <w:rPr>
          <w:sz w:val="22"/>
        </w:rPr>
      </w:pPr>
      <w:r>
        <w:rPr>
          <w:b/>
          <w:sz w:val="22"/>
        </w:rPr>
        <w:t>No Waiver</w:t>
      </w:r>
      <w:r>
        <w:rPr>
          <w:sz w:val="22"/>
        </w:rPr>
        <w:t>.  The failure of either party to enforce any rights granted hereunder or to take action against the other party in the event of any breach hereunder shall not be deemed a waiver by that party as to subsequent enforcement of rights or subsequent actions in the event of future breaches.</w:t>
      </w:r>
    </w:p>
    <w:p>
      <w:pPr>
        <w:pStyle w:val="Heading2"/>
        <w:numPr>
          <w:ilvl w:val="1"/>
          <w:numId w:val="11"/>
        </w:numPr>
        <w:tabs>
          <w:tab w:val="clear" w:pos="720"/>
          <w:tab w:val="left" w:pos="540" w:leader="none"/>
        </w:tabs>
        <w:spacing w:before="0" w:after="240"/>
        <w:ind w:firstLine="720" w:start="0" w:end="0"/>
        <w:rPr>
          <w:sz w:val="22"/>
        </w:rPr>
      </w:pPr>
      <w:r>
        <w:rPr>
          <w:b/>
          <w:sz w:val="22"/>
        </w:rPr>
        <w:t>Governing Law</w:t>
      </w:r>
      <w:r>
        <w:rPr>
          <w:sz w:val="22"/>
        </w:rPr>
        <w:t>.  THIS AGREEMENT SHALL BE GOVERNED BY, INTERPRETED UNDER, AND CONSTRUED AND ENFORCED IN ACCORDANCE WITH THE LAWS OF THE STATE OF TEXAS AND THE UNITED STATES OF AMERICA WITHOUT REGARD TO THE PROVISIONS OF THE 1980 UNITED NATIONS CONVENTION ON THE INTERNATIONAL SALE OF GOODS, AND WITHOUT REGARD TO CONFLICTS OF LAW PRINCIPLES.  THE SOLE JURISDICTION AND VENUE FOR ACTIONS RELATED TO THE SUBJECT MATTER HEREOF SHALL BE THE STATE OF TEXAS AND U.S. FEDERAL COURTS HAVING WITH THEIR JURISDICTION THE HARRIS COUNTY, TEXAS OR THE SOUTHERN DISTRICT OF TEXAS.</w:t>
      </w:r>
    </w:p>
    <w:p>
      <w:pPr>
        <w:pStyle w:val="Heading2"/>
        <w:numPr>
          <w:ilvl w:val="1"/>
          <w:numId w:val="11"/>
        </w:numPr>
        <w:tabs>
          <w:tab w:val="clear" w:pos="720"/>
          <w:tab w:val="left" w:pos="540" w:leader="none"/>
        </w:tabs>
        <w:spacing w:before="0" w:after="240"/>
        <w:ind w:firstLine="720" w:start="0" w:end="0"/>
        <w:rPr>
          <w:sz w:val="22"/>
        </w:rPr>
      </w:pPr>
      <w:r>
        <w:rPr>
          <w:b/>
          <w:sz w:val="22"/>
        </w:rPr>
        <w:t>Attorneys Fees</w:t>
      </w:r>
      <w:r>
        <w:rPr>
          <w:sz w:val="22"/>
        </w:rPr>
        <w:t xml:space="preserve">.  In the event any dispute or litigation arises hereunder between any of the parties hereto, their heirs, personal representatives, agents, successors or assigns, the prevailing party shall be entitled to all reasonable attorney’s fees. </w:t>
      </w:r>
    </w:p>
    <w:p>
      <w:pPr>
        <w:pStyle w:val="Heading2"/>
        <w:numPr>
          <w:ilvl w:val="1"/>
          <w:numId w:val="11"/>
        </w:numPr>
        <w:tabs>
          <w:tab w:val="clear" w:pos="720"/>
          <w:tab w:val="left" w:pos="540" w:leader="none"/>
        </w:tabs>
        <w:spacing w:before="0" w:after="240"/>
        <w:ind w:firstLine="720" w:start="0" w:end="0"/>
        <w:rPr>
          <w:sz w:val="22"/>
        </w:rPr>
      </w:pPr>
      <w:r>
        <w:rPr>
          <w:b/>
          <w:sz w:val="22"/>
        </w:rPr>
        <w:t xml:space="preserve">Relationship of the Parties.  </w:t>
      </w:r>
      <w:r>
        <w:rPr>
          <w:sz w:val="22"/>
        </w:rPr>
        <w:t>The relationship of EC Outlook and Customer established by this Agreement is that of independent contractor, and nothing contained in this Agreement shall be construed: (a) to give either party the power to direct or control the day-to-day activities of the other; or (b) to constitute the parties as partners, franchisee-franchiser, joint venturers, co-owners or otherwise as participants in a joint or common undertaking, or otherwise give rise to fiduciary obligations between the parties.</w:t>
      </w:r>
    </w:p>
    <w:p>
      <w:pPr>
        <w:pStyle w:val="Heading2"/>
        <w:numPr>
          <w:ilvl w:val="1"/>
          <w:numId w:val="11"/>
        </w:numPr>
        <w:tabs>
          <w:tab w:val="clear" w:pos="720"/>
          <w:tab w:val="left" w:pos="540" w:leader="none"/>
        </w:tabs>
        <w:spacing w:before="0" w:after="240"/>
        <w:ind w:firstLine="720" w:start="0" w:end="0"/>
        <w:rPr>
          <w:sz w:val="22"/>
        </w:rPr>
      </w:pPr>
      <w:r>
        <w:rPr>
          <w:b/>
          <w:sz w:val="22"/>
        </w:rPr>
        <w:t>No Third Party Beneficiaries</w:t>
      </w:r>
      <w:r>
        <w:rPr>
          <w:sz w:val="22"/>
        </w:rPr>
        <w:t>.  This Agreement shall not be for the benefit of, or enforceable by, any person or entity not a party hereto and shall not confer any rights or remedies upon any party other than the Parties and their respective successors and permitted assigns.</w:t>
      </w:r>
    </w:p>
    <w:p>
      <w:pPr>
        <w:pStyle w:val="Heading2"/>
        <w:numPr>
          <w:ilvl w:val="1"/>
          <w:numId w:val="11"/>
        </w:numPr>
        <w:tabs>
          <w:tab w:val="clear" w:pos="720"/>
          <w:tab w:val="left" w:pos="540" w:leader="none"/>
        </w:tabs>
        <w:spacing w:before="0" w:after="240"/>
        <w:ind w:firstLine="720" w:start="0" w:end="0"/>
        <w:rPr>
          <w:sz w:val="22"/>
        </w:rPr>
      </w:pPr>
      <w:r>
        <w:rPr>
          <w:b/>
          <w:sz w:val="22"/>
        </w:rPr>
        <w:t>Force Majeure</w:t>
      </w:r>
      <w:r>
        <w:rPr>
          <w:sz w:val="22"/>
        </w:rPr>
        <w:t>.  Except for the obligation to make payments, nonperformance by either party shall be excused to the extent that performance is rendered impossible by strike, fire, flood, governmental acts or orders or restrictions, failure of suppliers (including telecommunications vendors or suppliers), or any other reason where failure to perform is beyond the control and not caused by the negligence of the non-performing party.</w:t>
      </w:r>
    </w:p>
    <w:p>
      <w:pPr>
        <w:pStyle w:val="Heading2"/>
        <w:numPr>
          <w:ilvl w:val="1"/>
          <w:numId w:val="11"/>
        </w:numPr>
        <w:tabs>
          <w:tab w:val="clear" w:pos="720"/>
          <w:tab w:val="left" w:pos="540" w:leader="none"/>
        </w:tabs>
        <w:spacing w:before="0" w:after="240"/>
        <w:ind w:firstLine="720" w:start="0" w:end="0"/>
        <w:rPr>
          <w:sz w:val="22"/>
        </w:rPr>
      </w:pPr>
      <w:r>
        <w:rPr>
          <w:b/>
          <w:sz w:val="22"/>
        </w:rPr>
        <w:t>Construction</w:t>
      </w:r>
      <w:r>
        <w:rPr>
          <w:sz w:val="22"/>
        </w:rPr>
        <w:t>.  In the event any provision of this Agreement or portion thereof is adjudged by any court of competent jurisdiction to be unenforceable or invalid, that provision shall be stricken or modified to the minimum extent necessary so that this Agreement shall remain enforceable, and the remaining provisions of this Agreement shall remain in full force and effect.  All titles, headings and captions are placed in this Agreement merely as a matter of convenience and shall not affect the construction or interpretation of any of its provisions.</w:t>
      </w:r>
    </w:p>
    <w:p>
      <w:pPr>
        <w:pStyle w:val="Heading2"/>
        <w:numPr>
          <w:ilvl w:val="1"/>
          <w:numId w:val="11"/>
        </w:numPr>
        <w:tabs>
          <w:tab w:val="clear" w:pos="720"/>
          <w:tab w:val="left" w:pos="540" w:leader="none"/>
        </w:tabs>
        <w:spacing w:before="0" w:after="240"/>
        <w:ind w:firstLine="720" w:start="0" w:end="0"/>
        <w:rPr>
          <w:sz w:val="22"/>
        </w:rPr>
      </w:pPr>
      <w:r>
        <w:rPr>
          <w:b/>
          <w:sz w:val="22"/>
        </w:rPr>
        <w:t>Entire Agreement</w:t>
      </w:r>
      <w:r>
        <w:rPr>
          <w:sz w:val="22"/>
        </w:rPr>
        <w:t>.  This Agreement constitutes the entire, final, complete and exclusive agreement between the parties and supersedes all prior or simultaneous agreements, proposals, representations, discussions, negotiations, and all industry customs or trade practices, oral or written, relating to this Agreement.  Neither party has made this Agreement by reason of or in reliance on any representations of fact or opinion which are not fully stated in this Agreement.  This Agreement may not be modified or amended except in writing signed by a duly authorized representative of each party.  Both parties acknowledge having read the terms and conditions set forth in this Agreement and all attachments hereto, understand all terms and conditions, and agree to be bound thereby.</w:t>
      </w:r>
    </w:p>
    <w:p>
      <w:pPr>
        <w:pStyle w:val="Heading2"/>
        <w:numPr>
          <w:ilvl w:val="1"/>
          <w:numId w:val="11"/>
        </w:numPr>
        <w:tabs>
          <w:tab w:val="clear" w:pos="720"/>
          <w:tab w:val="left" w:pos="540" w:leader="none"/>
        </w:tabs>
        <w:spacing w:before="0" w:after="240"/>
        <w:ind w:firstLine="720" w:start="0" w:end="0"/>
        <w:rPr>
          <w:sz w:val="22"/>
        </w:rPr>
      </w:pPr>
      <w:r>
        <w:rPr>
          <w:b/>
          <w:sz w:val="22"/>
        </w:rPr>
        <w:t>Schedules</w:t>
      </w:r>
      <w:r>
        <w:rPr>
          <w:sz w:val="22"/>
        </w:rPr>
        <w:t>.  It is acknowledged and agreed that all appendices, annexes, schedules and exhibits to this Agreement are an integral part hereof and are incorporated, in total, by reference fully as a part of this Agreement in all respects.</w:t>
      </w:r>
    </w:p>
    <w:p>
      <w:pPr>
        <w:pStyle w:val="Heading2"/>
        <w:numPr>
          <w:ilvl w:val="1"/>
          <w:numId w:val="11"/>
        </w:numPr>
        <w:tabs>
          <w:tab w:val="clear" w:pos="720"/>
          <w:tab w:val="left" w:pos="540" w:leader="none"/>
        </w:tabs>
        <w:spacing w:before="0" w:after="240"/>
        <w:ind w:firstLine="720" w:start="0" w:end="0"/>
        <w:rPr>
          <w:sz w:val="22"/>
        </w:rPr>
      </w:pPr>
      <w:r>
        <w:rPr>
          <w:b/>
          <w:sz w:val="22"/>
        </w:rPr>
        <w:t>Media Releases</w:t>
      </w:r>
      <w:r>
        <w:rPr>
          <w:sz w:val="22"/>
        </w:rPr>
        <w:t>.  In no event shall either Party make any media release, public announcement or other disclosure relating to the specific terms of this Agreement without the prior written consent of the other Party.</w:t>
      </w:r>
    </w:p>
    <w:p>
      <w:pPr>
        <w:pStyle w:val="Heading2"/>
        <w:numPr>
          <w:ilvl w:val="1"/>
          <w:numId w:val="11"/>
        </w:numPr>
        <w:tabs>
          <w:tab w:val="clear" w:pos="720"/>
          <w:tab w:val="left" w:pos="540" w:leader="none"/>
        </w:tabs>
        <w:spacing w:before="0" w:after="240"/>
        <w:ind w:firstLine="720" w:start="0" w:end="0"/>
        <w:rPr>
          <w:sz w:val="22"/>
        </w:rPr>
      </w:pPr>
      <w:r>
        <w:rPr>
          <w:b/>
          <w:sz w:val="22"/>
        </w:rPr>
        <w:t>Export Regulations</w:t>
      </w:r>
      <w:r>
        <w:rPr>
          <w:sz w:val="22"/>
        </w:rPr>
        <w:t xml:space="preserve">.  Customer acknowledges that the EDI Technology may be subject to United States export laws, statutes and regulations which prohibit the export or diversion of certain products and technology to certain countries, and Customer agrees that it will at all times comply with the provisions of such laws, statutes and regulations including obtaining any necessary or required licenses.  </w:t>
      </w:r>
      <w:r>
        <w:rPr>
          <w:b/>
          <w:sz w:val="22"/>
        </w:rPr>
        <w:t xml:space="preserve">  </w:t>
      </w:r>
    </w:p>
    <w:p>
      <w:pPr>
        <w:pStyle w:val="Heading2"/>
        <w:numPr>
          <w:ilvl w:val="1"/>
          <w:numId w:val="11"/>
        </w:numPr>
        <w:tabs>
          <w:tab w:val="clear" w:pos="720"/>
          <w:tab w:val="left" w:pos="540" w:leader="none"/>
        </w:tabs>
        <w:spacing w:before="0" w:after="240"/>
        <w:ind w:firstLine="720" w:start="0" w:end="0"/>
        <w:rPr>
          <w:sz w:val="22"/>
        </w:rPr>
      </w:pPr>
      <w:r>
        <w:rPr>
          <w:b/>
          <w:sz w:val="22"/>
        </w:rPr>
        <w:t>Counterparts</w:t>
      </w:r>
      <w:r>
        <w:rPr>
          <w:sz w:val="22"/>
        </w:rPr>
        <w:t>.  This Agreement may be executed in counterparts, each of which shall be an original, and such counterparts shall together constitute one instrument.</w:t>
      </w:r>
    </w:p>
    <w:p>
      <w:pPr>
        <w:pStyle w:val="Heading2"/>
        <w:numPr>
          <w:ilvl w:val="1"/>
          <w:numId w:val="11"/>
        </w:numPr>
        <w:spacing w:before="0" w:after="240"/>
        <w:ind w:firstLine="720" w:start="0" w:end="0"/>
        <w:rPr>
          <w:b/>
          <w:sz w:val="22"/>
        </w:rPr>
      </w:pPr>
      <w:r>
        <w:rPr>
          <w:b/>
          <w:sz w:val="22"/>
        </w:rPr>
        <w:t>Notices</w:t>
      </w:r>
      <w:r>
        <w:rPr>
          <w:sz w:val="22"/>
        </w:rPr>
        <w:t>.  Unless otherwise provided, any notice required or permitted under this Agreement shall be given in writing and shall be deemed effectively given upon personal delivery to the party to be notified or two (2) days following timely deposit with a reputable international overnight courier with express delivery instructions at the address indicated below or at such other address as such party may designate by ten (10) days’ advance written notice to the other party pursuant to these provisions.</w:t>
      </w:r>
    </w:p>
    <w:p>
      <w:pPr>
        <w:pStyle w:val="Normal"/>
        <w:keepNext w:val="true"/>
        <w:suppressAutoHyphens w:val="true"/>
        <w:ind w:start="720" w:end="0"/>
        <w:rPr/>
      </w:pPr>
      <w:r>
        <w:rPr/>
        <w:t>To EC Outlook:</w:t>
        <w:tab/>
        <w:tab/>
        <w:t>ECOutlook.com, Inc.</w:t>
      </w:r>
    </w:p>
    <w:p>
      <w:pPr>
        <w:pStyle w:val="Normal"/>
        <w:keepNext w:val="true"/>
        <w:suppressAutoHyphens w:val="true"/>
        <w:rPr/>
      </w:pPr>
      <w:r>
        <w:rPr/>
        <w:tab/>
        <w:tab/>
        <w:tab/>
        <w:tab/>
        <w:t>9800 Centre Parkway, Suite 530</w:t>
      </w:r>
    </w:p>
    <w:p>
      <w:pPr>
        <w:pStyle w:val="Normal"/>
        <w:keepNext w:val="true"/>
        <w:suppressAutoHyphens w:val="true"/>
        <w:rPr/>
      </w:pPr>
      <w:r>
        <w:rPr/>
        <w:tab/>
        <w:tab/>
        <w:tab/>
        <w:tab/>
        <w:t>Houston, Texas  77036</w:t>
      </w:r>
    </w:p>
    <w:p>
      <w:pPr>
        <w:pStyle w:val="Normal"/>
        <w:suppressAutoHyphens w:val="true"/>
        <w:spacing w:before="0" w:after="240"/>
        <w:rPr/>
      </w:pPr>
      <w:r>
        <w:rPr/>
        <w:tab/>
        <w:tab/>
        <w:tab/>
        <w:tab/>
        <w:t>Attention:   Chief Executive Officer</w:t>
        <w:br/>
        <w:tab/>
        <w:tab/>
        <w:tab/>
        <w:tab/>
        <w:t>Fax:  (713) 773-9944</w:t>
      </w:r>
    </w:p>
    <w:p>
      <w:pPr>
        <w:pStyle w:val="Normal"/>
        <w:suppressAutoHyphens w:val="true"/>
        <w:spacing w:before="0" w:after="240"/>
        <w:ind w:firstLine="720" w:start="720" w:end="0"/>
        <w:jc w:val="both"/>
        <w:rPr/>
      </w:pPr>
      <w:r>
        <w:rPr/>
        <w:t>with a copy (which shall not constitute notice) to:</w:t>
      </w:r>
    </w:p>
    <w:p>
      <w:pPr>
        <w:pStyle w:val="Normal"/>
        <w:keepNext w:val="true"/>
        <w:suppressAutoHyphens w:val="true"/>
        <w:ind w:firstLine="720" w:start="2160" w:end="0"/>
        <w:rPr/>
      </w:pPr>
      <w:r>
        <w:rPr/>
        <w:t>J. Matthew Lyons, P.C.</w:t>
      </w:r>
    </w:p>
    <w:p>
      <w:pPr>
        <w:pStyle w:val="Normal"/>
        <w:keepNext w:val="true"/>
        <w:suppressAutoHyphens w:val="true"/>
        <w:ind w:firstLine="720" w:start="2160" w:end="0"/>
        <w:rPr/>
      </w:pPr>
      <w:r>
        <w:rPr/>
        <w:t>Brobeck, Phleger &amp; Harrison LLP</w:t>
      </w:r>
    </w:p>
    <w:p>
      <w:pPr>
        <w:pStyle w:val="Normal"/>
        <w:keepNext w:val="true"/>
        <w:suppressAutoHyphens w:val="true"/>
        <w:ind w:firstLine="720" w:start="2160" w:end="0"/>
        <w:rPr/>
      </w:pPr>
      <w:r>
        <w:rPr/>
        <w:t>4801 Plaza on the Lake</w:t>
      </w:r>
    </w:p>
    <w:p>
      <w:pPr>
        <w:pStyle w:val="Normal"/>
        <w:keepNext w:val="true"/>
        <w:suppressAutoHyphens w:val="true"/>
        <w:ind w:firstLine="720" w:start="2160" w:end="0"/>
        <w:rPr/>
      </w:pPr>
      <w:r>
        <w:rPr/>
        <w:t>Austin, Texas 78746</w:t>
      </w:r>
    </w:p>
    <w:p>
      <w:pPr>
        <w:pStyle w:val="Normal"/>
        <w:suppressAutoHyphens w:val="true"/>
        <w:ind w:firstLine="720" w:start="2160" w:end="0"/>
        <w:rPr/>
      </w:pPr>
      <w:r>
        <w:rPr/>
        <w:t>Fax:  (512) 330-4001</w:t>
      </w:r>
    </w:p>
    <w:p>
      <w:pPr>
        <w:pStyle w:val="Normal"/>
        <w:keepNext w:val="true"/>
        <w:keepLines/>
        <w:spacing w:before="240" w:after="0"/>
        <w:ind w:start="720" w:end="0"/>
        <w:rPr/>
      </w:pPr>
      <w:r>
        <w:rPr/>
        <w:t>To Customer:</w:t>
        <w:tab/>
        <w:tab/>
        <w:t>Enron Corp.</w:t>
      </w:r>
    </w:p>
    <w:p>
      <w:pPr>
        <w:pStyle w:val="Normal"/>
        <w:keepNext w:val="true"/>
        <w:keepLines/>
        <w:ind w:firstLine="720" w:start="2160" w:end="0"/>
        <w:rPr/>
      </w:pPr>
      <w:r>
        <w:rPr/>
        <w:t>1400 Smith Street</w:t>
      </w:r>
    </w:p>
    <w:p>
      <w:pPr>
        <w:pStyle w:val="Normal"/>
        <w:keepNext w:val="true"/>
        <w:keepLines/>
        <w:ind w:firstLine="720" w:start="2160" w:end="0"/>
        <w:rPr/>
      </w:pPr>
      <w:r>
        <w:rPr/>
        <w:t>Houston, Texas 77001</w:t>
      </w:r>
    </w:p>
    <w:p>
      <w:pPr>
        <w:pStyle w:val="Normal"/>
        <w:keepNext w:val="true"/>
        <w:keepLines/>
        <w:ind w:start="2880" w:end="0"/>
        <w:rPr/>
      </w:pPr>
      <w:r>
        <w:rPr/>
        <w:t xml:space="preserve">Attention:  Philippe Bibi, </w:t>
      </w:r>
    </w:p>
    <w:p>
      <w:pPr>
        <w:pStyle w:val="Normal"/>
        <w:keepNext w:val="true"/>
        <w:keepLines/>
        <w:ind w:start="2880" w:end="0"/>
        <w:rPr/>
      </w:pPr>
      <w:r>
        <w:rPr/>
        <w:t>Managing Director Chief Technology Officer</w:t>
      </w:r>
    </w:p>
    <w:p>
      <w:pPr>
        <w:pStyle w:val="Normal"/>
        <w:keepNext w:val="true"/>
        <w:keepLines/>
        <w:ind w:start="2880" w:end="0"/>
        <w:rPr/>
      </w:pPr>
      <w:r>
        <w:rPr/>
        <w:t>Fax:  (713) 646-333</w:t>
      </w:r>
    </w:p>
    <w:p>
      <w:pPr>
        <w:pStyle w:val="Normal"/>
        <w:keepNext w:val="true"/>
        <w:keepLines/>
        <w:rPr/>
      </w:pPr>
      <w:r>
        <w:rPr/>
      </w:r>
    </w:p>
    <w:p>
      <w:pPr>
        <w:pStyle w:val="Normal"/>
        <w:suppressAutoHyphens w:val="true"/>
        <w:spacing w:before="0" w:after="240"/>
        <w:ind w:firstLine="720" w:start="720" w:end="0"/>
        <w:jc w:val="both"/>
        <w:rPr/>
      </w:pPr>
      <w:r>
        <w:rPr/>
        <w:t>with a copy (which shall not constitute notice) to:</w:t>
      </w:r>
    </w:p>
    <w:p>
      <w:pPr>
        <w:pStyle w:val="Normal"/>
        <w:keepNext w:val="true"/>
        <w:suppressAutoHyphens w:val="true"/>
        <w:ind w:firstLine="720" w:start="2160" w:end="0"/>
        <w:rPr/>
      </w:pPr>
      <w:r>
        <w:rPr/>
        <w:t>Enron Corp.</w:t>
      </w:r>
    </w:p>
    <w:p>
      <w:pPr>
        <w:pStyle w:val="Normal"/>
        <w:keepNext w:val="true"/>
        <w:suppressAutoHyphens w:val="true"/>
        <w:ind w:firstLine="720" w:start="2160" w:end="0"/>
        <w:rPr/>
      </w:pPr>
      <w:r>
        <w:rPr/>
        <w:t>1400 Smith Street</w:t>
      </w:r>
    </w:p>
    <w:p>
      <w:pPr>
        <w:pStyle w:val="Normal"/>
        <w:keepNext w:val="true"/>
        <w:suppressAutoHyphens w:val="true"/>
        <w:ind w:firstLine="720" w:start="2160" w:end="0"/>
        <w:rPr/>
      </w:pPr>
      <w:r>
        <w:rPr/>
        <w:t>Houston, TX 77002</w:t>
      </w:r>
    </w:p>
    <w:p>
      <w:pPr>
        <w:pStyle w:val="Normal"/>
        <w:keepNext w:val="true"/>
        <w:suppressAutoHyphens w:val="true"/>
        <w:ind w:firstLine="720" w:start="2160" w:end="0"/>
        <w:rPr/>
      </w:pPr>
      <w:r>
        <w:rPr/>
        <w:t>Executive Vice President and General Counsel</w:t>
      </w:r>
    </w:p>
    <w:p>
      <w:pPr>
        <w:pStyle w:val="Normal"/>
        <w:keepNext w:val="true"/>
        <w:suppressAutoHyphens w:val="true"/>
        <w:ind w:firstLine="720" w:start="2160" w:end="0"/>
        <w:rPr/>
      </w:pPr>
      <w:r>
        <w:rPr/>
        <w:t xml:space="preserve">Fax: 713-853-3920 </w:t>
      </w:r>
    </w:p>
    <w:p>
      <w:pPr>
        <w:pStyle w:val="Heading2"/>
        <w:numPr>
          <w:ilvl w:val="0"/>
          <w:numId w:val="0"/>
        </w:numPr>
        <w:spacing w:before="0" w:after="240"/>
        <w:ind w:hanging="0" w:start="0"/>
        <w:rPr>
          <w:sz w:val="22"/>
        </w:rPr>
      </w:pPr>
      <w:r>
        <w:rPr>
          <w:sz w:val="22"/>
        </w:rPr>
      </w:r>
    </w:p>
    <w:p>
      <w:pPr>
        <w:pStyle w:val="Heading2"/>
        <w:numPr>
          <w:ilvl w:val="1"/>
          <w:numId w:val="11"/>
        </w:numPr>
        <w:tabs>
          <w:tab w:val="clear" w:pos="720"/>
          <w:tab w:val="left" w:pos="540" w:leader="none"/>
        </w:tabs>
        <w:spacing w:before="0" w:after="240"/>
        <w:ind w:firstLine="720" w:start="0" w:end="0"/>
        <w:rPr>
          <w:sz w:val="22"/>
        </w:rPr>
      </w:pPr>
      <w:r>
        <w:rPr>
          <w:b/>
          <w:sz w:val="22"/>
        </w:rPr>
        <w:t>Bargained for Bases</w:t>
      </w:r>
      <w:r>
        <w:rPr>
          <w:sz w:val="22"/>
        </w:rPr>
        <w:t xml:space="preserve">.  </w:t>
      </w:r>
      <w:r>
        <w:rPr>
          <w:caps/>
          <w:sz w:val="22"/>
        </w:rPr>
        <w:t>Each party recognizes and agrees that the warranty disclaimers and liability and remedy limitations in this Agreement are material bargained for bases of this Agreement and that they have been taken into account and reflected in determining the consideration to be given by each party under this Agreement and in the decision by each party to enter into this Agreement</w:t>
      </w:r>
      <w:r>
        <w:rPr>
          <w:sz w:val="22"/>
        </w:rPr>
        <w:t>.</w:t>
      </w:r>
    </w:p>
    <w:p>
      <w:pPr>
        <w:pStyle w:val="BodyText"/>
        <w:spacing w:before="0" w:after="120"/>
        <w:ind w:hanging="0" w:end="0"/>
        <w:jc w:val="center"/>
        <w:rPr>
          <w:sz w:val="22"/>
        </w:rPr>
      </w:pPr>
      <w:r>
        <w:rPr>
          <w:sz w:val="22"/>
        </w:rPr>
        <w:t>*</w:t>
        <w:tab/>
        <w:t>*</w:t>
        <w:tab/>
        <w:t>*</w:t>
      </w:r>
    </w:p>
    <w:p>
      <w:pPr>
        <w:pStyle w:val="BodyText"/>
        <w:spacing w:before="0" w:after="120"/>
        <w:jc w:val="center"/>
        <w:rPr>
          <w:sz w:val="22"/>
        </w:rPr>
      </w:pPr>
      <w:r>
        <w:rPr>
          <w:sz w:val="22"/>
        </w:rPr>
        <w:t xml:space="preserve"> </w:t>
      </w:r>
      <w:r>
        <w:rPr>
          <w:sz w:val="22"/>
        </w:rPr>
        <w:t>IN WITNESS WHEREOF, the parties have caused this Agreement to be executed as of the Effective Date set forth above.</w:t>
      </w:r>
    </w:p>
    <w:p>
      <w:pPr>
        <w:pStyle w:val="BodyText"/>
        <w:spacing w:before="0" w:after="120"/>
        <w:rPr>
          <w:sz w:val="22"/>
        </w:rPr>
      </w:pPr>
      <w:r>
        <w:rPr>
          <w:sz w:val="22"/>
        </w:rPr>
      </w:r>
    </w:p>
    <w:tbl>
      <w:tblPr>
        <w:tblW w:w="10584" w:type="dxa"/>
        <w:jc w:val="start"/>
        <w:tblInd w:w="0" w:type="dxa"/>
        <w:tblLayout w:type="fixed"/>
        <w:tblCellMar>
          <w:top w:w="0" w:type="dxa"/>
          <w:start w:w="108" w:type="dxa"/>
          <w:bottom w:w="0" w:type="dxa"/>
          <w:end w:w="108" w:type="dxa"/>
        </w:tblCellMar>
      </w:tblPr>
      <w:tblGrid>
        <w:gridCol w:w="5292"/>
        <w:gridCol w:w="5292"/>
      </w:tblGrid>
      <w:tr>
        <w:trPr/>
        <w:tc>
          <w:tcPr>
            <w:tcW w:w="5292" w:type="dxa"/>
            <w:tcBorders/>
          </w:tcPr>
          <w:p>
            <w:pPr>
              <w:pStyle w:val="BodyText"/>
              <w:spacing w:before="0" w:after="180"/>
              <w:ind w:hanging="0" w:end="0"/>
              <w:rPr>
                <w:sz w:val="22"/>
              </w:rPr>
            </w:pPr>
            <w:r>
              <w:rPr>
                <w:b/>
                <w:sz w:val="22"/>
              </w:rPr>
              <w:t>EC Outlook:</w:t>
            </w:r>
          </w:p>
        </w:tc>
        <w:tc>
          <w:tcPr>
            <w:tcW w:w="5292" w:type="dxa"/>
            <w:tcBorders/>
          </w:tcPr>
          <w:p>
            <w:pPr>
              <w:pStyle w:val="BodyText"/>
              <w:spacing w:before="0" w:after="180"/>
              <w:ind w:hanging="0" w:end="0"/>
              <w:rPr>
                <w:sz w:val="22"/>
              </w:rPr>
            </w:pPr>
            <w:r>
              <w:rPr>
                <w:b/>
                <w:sz w:val="22"/>
              </w:rPr>
              <w:t>Customer:</w:t>
            </w:r>
          </w:p>
        </w:tc>
      </w:tr>
      <w:tr>
        <w:trPr/>
        <w:tc>
          <w:tcPr>
            <w:tcW w:w="5292" w:type="dxa"/>
            <w:tcBorders/>
          </w:tcPr>
          <w:p>
            <w:pPr>
              <w:pStyle w:val="BodyText"/>
              <w:spacing w:before="0" w:after="180"/>
              <w:ind w:hanging="0" w:end="0"/>
              <w:rPr>
                <w:sz w:val="22"/>
              </w:rPr>
            </w:pPr>
            <w:r>
              <w:rPr>
                <w:sz w:val="22"/>
              </w:rPr>
              <w:t>By:</w:t>
              <w:tab/>
            </w:r>
            <w:r>
              <w:rPr>
                <w:sz w:val="22"/>
                <w:u w:val="single"/>
              </w:rPr>
              <w:tab/>
              <w:tab/>
              <w:tab/>
              <w:tab/>
              <w:tab/>
            </w:r>
          </w:p>
        </w:tc>
        <w:tc>
          <w:tcPr>
            <w:tcW w:w="5292" w:type="dxa"/>
            <w:tcBorders/>
          </w:tcPr>
          <w:p>
            <w:pPr>
              <w:pStyle w:val="BodyText"/>
              <w:spacing w:before="0" w:after="180"/>
              <w:ind w:hanging="0" w:end="0"/>
              <w:rPr>
                <w:sz w:val="22"/>
              </w:rPr>
            </w:pPr>
            <w:r>
              <w:rPr>
                <w:sz w:val="22"/>
              </w:rPr>
              <w:t>Signature:</w:t>
            </w:r>
            <w:r>
              <w:rPr>
                <w:sz w:val="22"/>
                <w:u w:val="single"/>
              </w:rPr>
              <w:tab/>
              <w:tab/>
              <w:tab/>
              <w:tab/>
              <w:tab/>
            </w:r>
          </w:p>
        </w:tc>
      </w:tr>
      <w:tr>
        <w:trPr/>
        <w:tc>
          <w:tcPr>
            <w:tcW w:w="5292" w:type="dxa"/>
            <w:tcBorders/>
          </w:tcPr>
          <w:p>
            <w:pPr>
              <w:pStyle w:val="BodyText"/>
              <w:spacing w:before="0" w:after="180"/>
              <w:ind w:hanging="0" w:end="0"/>
              <w:rPr/>
            </w:pPr>
            <w:r>
              <w:rPr>
                <w:sz w:val="22"/>
              </w:rPr>
              <w:tab/>
            </w:r>
            <w:r>
              <w:rPr>
                <w:sz w:val="22"/>
                <w:u w:val="single"/>
              </w:rPr>
              <w:tab/>
              <w:tab/>
              <w:tab/>
              <w:tab/>
              <w:tab/>
            </w:r>
            <w:r>
              <w:rPr>
                <w:sz w:val="22"/>
              </w:rPr>
              <w:br/>
              <w:tab/>
              <w:tab/>
              <w:t>(print name)</w:t>
            </w:r>
          </w:p>
        </w:tc>
        <w:tc>
          <w:tcPr>
            <w:tcW w:w="5292" w:type="dxa"/>
            <w:tcBorders/>
          </w:tcPr>
          <w:p>
            <w:pPr>
              <w:pStyle w:val="BodyText"/>
              <w:spacing w:before="0" w:after="0"/>
              <w:ind w:hanging="0" w:end="0"/>
              <w:rPr/>
            </w:pPr>
            <w:r>
              <w:rPr>
                <w:sz w:val="22"/>
              </w:rPr>
              <w:t>By:</w:t>
            </w:r>
            <w:r>
              <w:rPr>
                <w:sz w:val="22"/>
                <w:u w:val="single"/>
              </w:rPr>
              <w:tab/>
              <w:tab/>
              <w:tab/>
              <w:tab/>
              <w:tab/>
              <w:tab/>
            </w:r>
            <w:r>
              <w:rPr>
                <w:sz w:val="22"/>
              </w:rPr>
              <w:br/>
              <w:tab/>
              <w:tab/>
              <w:t>(print name)</w:t>
            </w:r>
          </w:p>
        </w:tc>
      </w:tr>
      <w:tr>
        <w:trPr/>
        <w:tc>
          <w:tcPr>
            <w:tcW w:w="5292" w:type="dxa"/>
            <w:tcBorders/>
          </w:tcPr>
          <w:p>
            <w:pPr>
              <w:pStyle w:val="BodyText"/>
              <w:spacing w:before="0" w:after="180"/>
              <w:ind w:hanging="0" w:end="0"/>
              <w:rPr/>
            </w:pPr>
            <w:r>
              <w:rPr>
                <w:sz w:val="22"/>
              </w:rPr>
              <w:t>Title:</w:t>
              <w:tab/>
            </w:r>
            <w:r>
              <w:rPr>
                <w:sz w:val="22"/>
                <w:u w:val="single"/>
              </w:rPr>
              <w:tab/>
              <w:tab/>
              <w:tab/>
              <w:tab/>
              <w:tab/>
            </w:r>
          </w:p>
        </w:tc>
        <w:tc>
          <w:tcPr>
            <w:tcW w:w="5292" w:type="dxa"/>
            <w:tcBorders/>
          </w:tcPr>
          <w:p>
            <w:pPr>
              <w:pStyle w:val="BodyText"/>
              <w:spacing w:before="0" w:after="180"/>
              <w:ind w:hanging="0" w:end="0"/>
              <w:rPr/>
            </w:pPr>
            <w:r>
              <w:rPr>
                <w:sz w:val="22"/>
              </w:rPr>
              <w:t>Title:</w:t>
            </w:r>
            <w:r>
              <w:rPr>
                <w:sz w:val="22"/>
                <w:u w:val="single"/>
              </w:rPr>
              <w:tab/>
              <w:tab/>
              <w:tab/>
              <w:tab/>
              <w:tab/>
              <w:tab/>
            </w:r>
          </w:p>
        </w:tc>
      </w:tr>
    </w:tbl>
    <w:p>
      <w:pPr>
        <w:sectPr>
          <w:footerReference w:type="default" r:id="rId2"/>
          <w:footerReference w:type="first" r:id="rId3"/>
          <w:type w:val="nextPage"/>
          <w:pgSz w:w="12240" w:h="15840"/>
          <w:pgMar w:left="1440" w:right="1440" w:gutter="0" w:header="0" w:top="1440" w:footer="432" w:bottom="1440"/>
          <w:pgNumType w:fmt="decimal"/>
          <w:formProt w:val="false"/>
          <w:titlePg/>
          <w:textDirection w:val="lrTb"/>
          <w:docGrid w:type="default" w:linePitch="360" w:charSpace="0"/>
        </w:sectPr>
        <w:pStyle w:val="Heading"/>
        <w:rPr>
          <w:i/>
          <w:i/>
          <w:sz w:val="24"/>
        </w:rPr>
      </w:pPr>
      <w:r>
        <w:rPr>
          <w:i/>
          <w:sz w:val="24"/>
        </w:rPr>
      </w:r>
    </w:p>
    <w:p>
      <w:pPr>
        <w:pStyle w:val="Heading"/>
        <w:rPr>
          <w:sz w:val="24"/>
        </w:rPr>
      </w:pPr>
      <w:r>
        <w:rPr>
          <w:sz w:val="24"/>
        </w:rPr>
        <w:t>EC OUTLOOK EDI LICENSE AGREEMENT</w:t>
      </w:r>
    </w:p>
    <w:p>
      <w:pPr>
        <w:pStyle w:val="Normal"/>
        <w:jc w:val="center"/>
        <w:rPr>
          <w:b/>
          <w:sz w:val="24"/>
        </w:rPr>
      </w:pPr>
      <w:r>
        <w:rPr>
          <w:b/>
          <w:sz w:val="24"/>
        </w:rPr>
        <w:t>SCHEDULE A</w:t>
      </w:r>
    </w:p>
    <w:p>
      <w:pPr>
        <w:pStyle w:val="Normal"/>
        <w:jc w:val="center"/>
        <w:rPr>
          <w:b/>
          <w:sz w:val="24"/>
        </w:rPr>
      </w:pPr>
      <w:r>
        <w:rPr>
          <w:b/>
          <w:sz w:val="24"/>
        </w:rPr>
      </w:r>
    </w:p>
    <w:p>
      <w:pPr>
        <w:pStyle w:val="Normal"/>
        <w:jc w:val="center"/>
        <w:rPr>
          <w:b/>
          <w:sz w:val="24"/>
        </w:rPr>
      </w:pPr>
      <w:r>
        <w:rPr>
          <w:b/>
          <w:sz w:val="24"/>
        </w:rPr>
        <w:t>PAYMENT SCHEDULE</w:t>
      </w:r>
    </w:p>
    <w:p>
      <w:pPr>
        <w:pStyle w:val="Normal"/>
        <w:jc w:val="center"/>
        <w:rPr>
          <w:b/>
          <w:sz w:val="24"/>
        </w:rPr>
      </w:pPr>
      <w:r>
        <w:rPr>
          <w:b/>
          <w:sz w:val="24"/>
        </w:rPr>
      </w:r>
    </w:p>
    <w:p>
      <w:pPr>
        <w:pStyle w:val="Heading1"/>
        <w:numPr>
          <w:ilvl w:val="0"/>
          <w:numId w:val="16"/>
        </w:numPr>
        <w:jc w:val="both"/>
        <w:rPr>
          <w:rFonts w:ascii="Times New Roman" w:hAnsi="Times New Roman" w:cs="Times New Roman"/>
          <w:sz w:val="22"/>
        </w:rPr>
      </w:pPr>
      <w:r>
        <w:rPr>
          <w:rFonts w:cs="Times New Roman" w:ascii="Times New Roman" w:hAnsi="Times New Roman"/>
          <w:sz w:val="22"/>
          <w:u w:val="single"/>
        </w:rPr>
        <w:t>LICENSE Fees</w:t>
      </w:r>
      <w:r>
        <w:rPr>
          <w:rFonts w:cs="Times New Roman" w:ascii="Times New Roman" w:hAnsi="Times New Roman"/>
          <w:sz w:val="22"/>
        </w:rPr>
        <w:t>.</w:t>
      </w:r>
    </w:p>
    <w:p>
      <w:pPr>
        <w:pStyle w:val="Heading2"/>
        <w:numPr>
          <w:ilvl w:val="1"/>
          <w:numId w:val="11"/>
        </w:numPr>
        <w:spacing w:before="0" w:after="240"/>
        <w:ind w:firstLine="720" w:start="0" w:end="0"/>
        <w:rPr>
          <w:sz w:val="22"/>
        </w:rPr>
      </w:pPr>
      <w:r>
        <w:rPr>
          <w:b/>
          <w:sz w:val="22"/>
        </w:rPr>
        <w:t>Initial Term</w:t>
      </w:r>
      <w:r>
        <w:rPr>
          <w:sz w:val="22"/>
        </w:rPr>
        <w:t>.  In consideration of EC Outlook’s agreement to license the EDI Technology to Customer for the Initial Term, Customer agrees to pay $1,229,167 to EC Outlook (“</w:t>
      </w:r>
      <w:r>
        <w:rPr>
          <w:b/>
          <w:i/>
          <w:sz w:val="22"/>
        </w:rPr>
        <w:t>Initial Term</w:t>
      </w:r>
      <w:r>
        <w:rPr>
          <w:sz w:val="22"/>
        </w:rPr>
        <w:t xml:space="preserve"> </w:t>
      </w:r>
      <w:r>
        <w:rPr>
          <w:b/>
          <w:i/>
          <w:sz w:val="22"/>
        </w:rPr>
        <w:t>License Fee</w:t>
      </w:r>
      <w:r>
        <w:rPr>
          <w:sz w:val="22"/>
        </w:rPr>
        <w:t>”) on the Effective Date.</w:t>
      </w:r>
    </w:p>
    <w:p>
      <w:pPr>
        <w:pStyle w:val="Heading2"/>
        <w:numPr>
          <w:ilvl w:val="1"/>
          <w:numId w:val="11"/>
        </w:numPr>
        <w:spacing w:before="0" w:after="240"/>
        <w:ind w:firstLine="720" w:start="0" w:end="0"/>
        <w:rPr>
          <w:sz w:val="22"/>
        </w:rPr>
      </w:pPr>
      <w:r>
        <w:rPr>
          <w:b/>
          <w:sz w:val="22"/>
        </w:rPr>
        <w:t>Renewal Term</w:t>
      </w:r>
      <w:r>
        <w:rPr>
          <w:sz w:val="22"/>
        </w:rPr>
        <w:t>.  In consideration of EC Outlook’s agreement to license the EDI Technology to Customer for a particular Renewal Term, Customer agrees to make payment (“</w:t>
      </w:r>
      <w:r>
        <w:rPr>
          <w:b/>
          <w:i/>
          <w:sz w:val="22"/>
        </w:rPr>
        <w:t>Renewal Term</w:t>
      </w:r>
      <w:r>
        <w:rPr>
          <w:sz w:val="22"/>
        </w:rPr>
        <w:t xml:space="preserve"> </w:t>
      </w:r>
      <w:r>
        <w:rPr>
          <w:b/>
          <w:i/>
          <w:sz w:val="22"/>
        </w:rPr>
        <w:t>License Fee</w:t>
      </w:r>
      <w:r>
        <w:rPr>
          <w:sz w:val="22"/>
        </w:rPr>
        <w:t xml:space="preserve">”) to EC Outlook as follows: </w:t>
      </w:r>
    </w:p>
    <w:p>
      <w:pPr>
        <w:pStyle w:val="Heading3"/>
        <w:numPr>
          <w:ilvl w:val="2"/>
          <w:numId w:val="11"/>
        </w:numPr>
        <w:tabs>
          <w:tab w:val="clear" w:pos="720"/>
        </w:tabs>
        <w:ind w:hanging="0" w:start="0"/>
        <w:rPr/>
      </w:pPr>
      <w:r>
        <w:rPr>
          <w:sz w:val="22"/>
        </w:rPr>
        <w:t>Payment is due on the first day of the Renewal Term;</w:t>
      </w:r>
    </w:p>
    <w:p>
      <w:pPr>
        <w:pStyle w:val="Heading3"/>
        <w:numPr>
          <w:ilvl w:val="2"/>
          <w:numId w:val="11"/>
        </w:numPr>
        <w:tabs>
          <w:tab w:val="clear" w:pos="720"/>
        </w:tabs>
        <w:ind w:hanging="0" w:start="0"/>
        <w:rPr/>
      </w:pPr>
      <w:r>
        <w:rPr>
          <w:sz w:val="22"/>
        </w:rPr>
        <w:t>The amount of the Renewal Term License Fee shall be the greater of (i) the prior year’s annual license fee payment (which for the first Renewal Term shall be taken to be $600,000), or (ii) the prior year’s annual license fee payment increased by an amount corresponding to twice the inflation rate of the prior year (as measured by the Consumer’s Price Index (“CPI”)) (i.e., (Renewal Term License Fee)</w:t>
      </w:r>
      <w:r>
        <w:rPr>
          <w:sz w:val="22"/>
          <w:vertAlign w:val="subscript"/>
        </w:rPr>
        <w:t>Yr N</w:t>
      </w:r>
      <w:r>
        <w:rPr>
          <w:sz w:val="22"/>
        </w:rPr>
        <w:t xml:space="preserve"> = (Renewal Term License Fee)</w:t>
      </w:r>
      <w:r>
        <w:rPr>
          <w:sz w:val="22"/>
          <w:vertAlign w:val="subscript"/>
        </w:rPr>
        <w:t>Yr N-1</w:t>
      </w:r>
      <w:r>
        <w:rPr>
          <w:sz w:val="22"/>
        </w:rPr>
        <w:t xml:space="preserve"> x (1 + 2(CPI)</w:t>
      </w:r>
      <w:r>
        <w:rPr>
          <w:sz w:val="22"/>
          <w:vertAlign w:val="subscript"/>
        </w:rPr>
        <w:t>Yr N-1, as fraction</w:t>
      </w:r>
      <w:r>
        <w:rPr>
          <w:sz w:val="22"/>
        </w:rPr>
        <w:t xml:space="preserve">)).  </w:t>
      </w:r>
    </w:p>
    <w:p>
      <w:pPr>
        <w:pStyle w:val="Heading2"/>
        <w:numPr>
          <w:ilvl w:val="0"/>
          <w:numId w:val="0"/>
        </w:numPr>
        <w:spacing w:before="0" w:after="240"/>
        <w:ind w:hanging="0" w:start="0"/>
        <w:rPr>
          <w:sz w:val="22"/>
        </w:rPr>
      </w:pPr>
      <w:r>
        <w:rPr>
          <w:sz w:val="22"/>
        </w:rPr>
      </w:r>
    </w:p>
    <w:p>
      <w:pPr>
        <w:pStyle w:val="Normal"/>
        <w:spacing w:before="0" w:after="240"/>
        <w:rPr>
          <w:sz w:val="19"/>
        </w:rPr>
      </w:pPr>
      <w:r>
        <w:rPr>
          <w:sz w:val="19"/>
        </w:rPr>
      </w:r>
    </w:p>
    <w:p>
      <w:pPr>
        <w:sectPr>
          <w:headerReference w:type="default" r:id="rId4"/>
          <w:headerReference w:type="first" r:id="rId5"/>
          <w:footerReference w:type="default" r:id="rId6"/>
          <w:footerReference w:type="first" r:id="rId7"/>
          <w:type w:val="nextPage"/>
          <w:pgSz w:w="12240" w:h="15840"/>
          <w:pgMar w:left="1440" w:right="1440" w:gutter="0" w:header="720" w:top="1440" w:footer="432" w:bottom="1440"/>
          <w:pgNumType w:start="1" w:fmt="decimal"/>
          <w:formProt w:val="false"/>
          <w:titlePg/>
          <w:textDirection w:val="lrTb"/>
          <w:docGrid w:type="default" w:linePitch="360" w:charSpace="0"/>
        </w:sectPr>
      </w:pPr>
    </w:p>
    <w:p>
      <w:pPr>
        <w:sectPr>
          <w:type w:val="continuous"/>
          <w:pgSz w:w="12240" w:h="15840"/>
          <w:pgMar w:left="1440" w:right="1440" w:gutter="0" w:header="720" w:top="1440" w:footer="432" w:bottom="1440"/>
          <w:formProt w:val="false"/>
          <w:titlePg/>
          <w:textDirection w:val="lrTb"/>
          <w:docGrid w:type="default" w:linePitch="360" w:charSpace="0"/>
        </w:sectPr>
        <w:pStyle w:val="Heading"/>
        <w:numPr>
          <w:ilvl w:val="0"/>
          <w:numId w:val="0"/>
        </w:numPr>
        <w:rPr>
          <w:sz w:val="24"/>
        </w:rPr>
      </w:pPr>
      <w:r>
        <w:rPr>
          <w:sz w:val="24"/>
        </w:rPr>
      </w:r>
      <w:r>
        <w:br w:type="page"/>
      </w:r>
    </w:p>
    <w:p>
      <w:pPr>
        <w:pStyle w:val="Heading"/>
        <w:rPr>
          <w:sz w:val="24"/>
        </w:rPr>
      </w:pPr>
      <w:r>
        <w:rPr>
          <w:sz w:val="24"/>
        </w:rPr>
        <w:t>EC OUTLOOK EDI LICENSE AGREEMENT</w:t>
      </w:r>
    </w:p>
    <w:p>
      <w:pPr>
        <w:pStyle w:val="Normal"/>
        <w:jc w:val="center"/>
        <w:rPr>
          <w:b/>
          <w:sz w:val="24"/>
        </w:rPr>
      </w:pPr>
      <w:r>
        <w:rPr>
          <w:b/>
          <w:sz w:val="24"/>
        </w:rPr>
        <w:t>SCHEDULE B</w:t>
      </w:r>
    </w:p>
    <w:p>
      <w:pPr>
        <w:pStyle w:val="Normal"/>
        <w:jc w:val="center"/>
        <w:rPr>
          <w:b/>
          <w:sz w:val="24"/>
        </w:rPr>
      </w:pPr>
      <w:r>
        <w:rPr>
          <w:b/>
          <w:sz w:val="24"/>
        </w:rPr>
      </w:r>
    </w:p>
    <w:p>
      <w:pPr>
        <w:pStyle w:val="Normal"/>
        <w:jc w:val="center"/>
        <w:rPr>
          <w:b/>
        </w:rPr>
      </w:pPr>
      <w:r>
        <w:rPr>
          <w:b/>
          <w:sz w:val="24"/>
        </w:rPr>
        <w:t>SOFTWARE AND DOCUMENTATION</w:t>
      </w:r>
    </w:p>
    <w:p>
      <w:pPr>
        <w:pStyle w:val="Normal"/>
        <w:jc w:val="center"/>
        <w:rPr>
          <w:b/>
        </w:rPr>
      </w:pPr>
      <w:r>
        <w:rPr>
          <w:b/>
        </w:rPr>
      </w:r>
    </w:p>
    <w:p>
      <w:pPr>
        <w:pStyle w:val="Heading1"/>
        <w:numPr>
          <w:ilvl w:val="0"/>
          <w:numId w:val="15"/>
        </w:numPr>
        <w:spacing w:before="0" w:after="240"/>
        <w:ind w:hanging="0" w:start="0" w:end="0"/>
        <w:jc w:val="start"/>
        <w:rPr>
          <w:rFonts w:ascii="Times New Roman" w:hAnsi="Times New Roman" w:cs="Times New Roman"/>
          <w:sz w:val="22"/>
        </w:rPr>
      </w:pPr>
      <w:r>
        <w:rPr>
          <w:rFonts w:cs="Times New Roman" w:ascii="Times New Roman" w:hAnsi="Times New Roman"/>
          <w:sz w:val="22"/>
          <w:u w:val="single"/>
        </w:rPr>
        <w:t>BACKGROUND</w:t>
      </w:r>
      <w:r>
        <w:rPr>
          <w:rFonts w:cs="Times New Roman" w:ascii="Times New Roman" w:hAnsi="Times New Roman"/>
          <w:sz w:val="22"/>
        </w:rPr>
        <w:t>.</w:t>
      </w:r>
    </w:p>
    <w:p>
      <w:pPr>
        <w:pStyle w:val="Heading2"/>
        <w:numPr>
          <w:ilvl w:val="1"/>
          <w:numId w:val="11"/>
        </w:numPr>
        <w:tabs>
          <w:tab w:val="clear" w:pos="720"/>
          <w:tab w:val="left" w:pos="540" w:leader="none"/>
        </w:tabs>
        <w:spacing w:before="0" w:after="240"/>
        <w:ind w:firstLine="720" w:start="0" w:end="0"/>
        <w:rPr>
          <w:sz w:val="22"/>
        </w:rPr>
      </w:pPr>
      <w:r>
        <w:rPr>
          <w:sz w:val="22"/>
        </w:rPr>
        <w:t>The descriptions provided herein are based on information provided by Customer.  Customer agrees that EC Outlook’s performance under this Agreement is excused to the extent that the descriptions in fact vary from this information.</w:t>
      </w:r>
    </w:p>
    <w:p>
      <w:pPr>
        <w:pStyle w:val="Heading1"/>
        <w:numPr>
          <w:ilvl w:val="0"/>
          <w:numId w:val="15"/>
        </w:numPr>
        <w:spacing w:before="0" w:after="240"/>
        <w:ind w:hanging="0" w:start="0" w:end="0"/>
        <w:jc w:val="start"/>
        <w:rPr>
          <w:rFonts w:ascii="Times New Roman" w:hAnsi="Times New Roman" w:cs="Times New Roman"/>
          <w:sz w:val="22"/>
        </w:rPr>
      </w:pPr>
      <w:r>
        <w:rPr>
          <w:rFonts w:cs="Times New Roman" w:ascii="Times New Roman" w:hAnsi="Times New Roman"/>
          <w:sz w:val="22"/>
          <w:u w:val="single"/>
        </w:rPr>
        <w:t>SOFTWARE</w:t>
      </w:r>
      <w:r>
        <w:rPr>
          <w:rFonts w:cs="Times New Roman" w:ascii="Times New Roman" w:hAnsi="Times New Roman"/>
          <w:sz w:val="22"/>
        </w:rPr>
        <w:t>.</w:t>
      </w:r>
    </w:p>
    <w:p>
      <w:pPr>
        <w:pStyle w:val="Heading2"/>
        <w:numPr>
          <w:ilvl w:val="1"/>
          <w:numId w:val="11"/>
        </w:numPr>
        <w:tabs>
          <w:tab w:val="clear" w:pos="720"/>
          <w:tab w:val="left" w:pos="540" w:leader="none"/>
        </w:tabs>
        <w:spacing w:before="0" w:after="240"/>
        <w:ind w:firstLine="720" w:start="0" w:end="0"/>
        <w:rPr>
          <w:sz w:val="22"/>
        </w:rPr>
      </w:pPr>
      <w:r>
        <w:rPr>
          <w:sz w:val="22"/>
        </w:rPr>
        <w:t>Customer describes the Software generally as follows:</w:t>
      </w:r>
    </w:p>
    <w:p>
      <w:pPr>
        <w:pStyle w:val="Heading3"/>
        <w:numPr>
          <w:ilvl w:val="2"/>
          <w:numId w:val="11"/>
        </w:numPr>
        <w:tabs>
          <w:tab w:val="clear" w:pos="720"/>
        </w:tabs>
        <w:ind w:hanging="0" w:start="0"/>
        <w:rPr>
          <w:sz w:val="22"/>
        </w:rPr>
      </w:pPr>
      <w:r>
        <w:rPr>
          <w:sz w:val="22"/>
        </w:rPr>
        <w:t>All of the software, technology and product lines relating to data maps, mapping structures and integration tools for electronically enabling the natural gas, electric power and financial trading process described in the following functional summary and to be more fully-detailed in the Deliverables described below, including the outputs of third party resource compilers, resource compilers, binary resources, shell scripts, make files, utilities and help file viewers relating thereto.</w:t>
      </w:r>
    </w:p>
    <w:p>
      <w:pPr>
        <w:pStyle w:val="Heading3"/>
        <w:numPr>
          <w:ilvl w:val="2"/>
          <w:numId w:val="11"/>
        </w:numPr>
        <w:tabs>
          <w:tab w:val="clear" w:pos="720"/>
        </w:tabs>
        <w:ind w:hanging="0" w:start="0"/>
        <w:rPr>
          <w:sz w:val="22"/>
        </w:rPr>
      </w:pPr>
      <w:r>
        <w:rPr>
          <w:sz w:val="22"/>
        </w:rPr>
        <w:t xml:space="preserve">The Electronic Data Interchange (EDI) Hub System is a collection of business-to-business (B2B) software products designed to provide data transport, translation, transformation, intelligent transaction routing over the Internet, and Customer intranet reporting services.  This collection of software is integrated and includes, but is not limited to, (1) data format maps for each trading partner, for each transaction type, (2) communication software for sending and receiving data files, (3) provisioned network and telecommunications infrastructure for data distribution, (4) translation software to translate data files, (5) interface programs and applications (6) data interchange applications and database software that processes and routes data, (6) messaging software to notify trading partners of transaction status, etc, (7)  application software to administer transaction processing routines, trading partner status, etc. , (8) encryption and authentication software, (9) software related to ACH and /or other financial clearing activities, (10) operating system software, (11) system security and firewall software, etc. </w:t>
      </w:r>
    </w:p>
    <w:p>
      <w:pPr>
        <w:pStyle w:val="Heading3"/>
        <w:numPr>
          <w:ilvl w:val="2"/>
          <w:numId w:val="11"/>
        </w:numPr>
        <w:tabs>
          <w:tab w:val="clear" w:pos="720"/>
        </w:tabs>
        <w:ind w:hanging="0" w:start="0"/>
        <w:rPr>
          <w:sz w:val="22"/>
        </w:rPr>
      </w:pPr>
      <w:r>
        <w:rPr>
          <w:sz w:val="22"/>
        </w:rPr>
        <w:t>Basically, the EDI Hub System receives a data file from a Customer computer system, transforms and secures the data in that file, routes the file to a predefined network destination outside the company, and waits for an electronic acknowledgement from the trading partner’s computer system indicating the file was received.  The electronic acknowledgement is then forwarded to the Customer computer system that initiated the EDI process.</w:t>
      </w:r>
    </w:p>
    <w:p>
      <w:pPr>
        <w:pStyle w:val="Heading3"/>
        <w:numPr>
          <w:ilvl w:val="2"/>
          <w:numId w:val="11"/>
        </w:numPr>
        <w:tabs>
          <w:tab w:val="clear" w:pos="720"/>
        </w:tabs>
        <w:ind w:hanging="0" w:start="0"/>
        <w:rPr>
          <w:sz w:val="22"/>
        </w:rPr>
      </w:pPr>
      <w:r>
        <w:rPr>
          <w:sz w:val="22"/>
        </w:rPr>
        <w:t>The EDI Hub system is designed to handle all types of data transformations (i.e., translations from any type of data format to any type of data format); and it is designed to handle file transmissions going either direction (i.e., outbound from Customer to a Trading Partner, or inbound from a Trading Partner to a Customer business unit).</w:t>
      </w:r>
    </w:p>
    <w:p>
      <w:pPr>
        <w:pStyle w:val="Heading3"/>
        <w:numPr>
          <w:ilvl w:val="2"/>
          <w:numId w:val="11"/>
        </w:numPr>
        <w:tabs>
          <w:tab w:val="clear" w:pos="720"/>
        </w:tabs>
        <w:ind w:hanging="0" w:start="0"/>
        <w:rPr>
          <w:sz w:val="22"/>
        </w:rPr>
      </w:pPr>
      <w:r>
        <w:rPr>
          <w:sz w:val="22"/>
        </w:rPr>
        <w:t>The EDI Hub System is a hybrid system that uses both commercial third party licensed software and custom developed software integrated in one heterogeneous environment.  Examples of the commercial third party licensed software include Oracle database software for relationship management and informational displays on Customer’s intranet, RMS/GEIS and Sterling Commerce/Gentran software for data mapping and translation tasks, and PGP software for data encryption tasks.  The in-house developed software is written in a variety of programming languages to include C, Pearl, Java, and HTML.</w:t>
      </w:r>
    </w:p>
    <w:p>
      <w:pPr>
        <w:pStyle w:val="Heading3"/>
        <w:numPr>
          <w:ilvl w:val="2"/>
          <w:numId w:val="11"/>
        </w:numPr>
        <w:tabs>
          <w:tab w:val="clear" w:pos="720"/>
        </w:tabs>
        <w:ind w:hanging="0" w:start="0"/>
        <w:rPr>
          <w:sz w:val="22"/>
        </w:rPr>
      </w:pPr>
      <w:r>
        <w:rPr>
          <w:sz w:val="22"/>
        </w:rPr>
        <w:t>The EDI Hub System operates on a mixture of Sun and IBM hardware platforms that utilize their respective “Unix-like” operating systems.  IBM RISC/6000 processors are used for software development (Test), quality assurance (QA), disaster recovery, and production processing tasks.  Sun platforms are used for database management (archive), intranet reporting, and Internet (web) communication tasks.</w:t>
      </w:r>
    </w:p>
    <w:p>
      <w:pPr>
        <w:pStyle w:val="Heading3"/>
        <w:numPr>
          <w:ilvl w:val="2"/>
          <w:numId w:val="11"/>
        </w:numPr>
        <w:tabs>
          <w:tab w:val="clear" w:pos="720"/>
        </w:tabs>
        <w:ind w:hanging="0" w:start="0"/>
        <w:rPr>
          <w:sz w:val="22"/>
        </w:rPr>
      </w:pPr>
      <w:r>
        <w:rPr>
          <w:sz w:val="22"/>
        </w:rPr>
        <w:t>The EDI Hub System sends and receives approximately ninety-nine percent of its B2B files over the Internet, with the remainder over leased T-1 lines or over AT&amp;T Global Network Services’ private data communications network.</w:t>
      </w:r>
    </w:p>
    <w:p>
      <w:pPr>
        <w:pStyle w:val="Heading1"/>
        <w:numPr>
          <w:ilvl w:val="0"/>
          <w:numId w:val="15"/>
        </w:numPr>
        <w:spacing w:before="0" w:after="240"/>
        <w:ind w:hanging="0" w:start="0" w:end="0"/>
        <w:jc w:val="start"/>
        <w:rPr>
          <w:rFonts w:ascii="Times New Roman" w:hAnsi="Times New Roman" w:cs="Times New Roman"/>
          <w:b w:val="false"/>
          <w:sz w:val="22"/>
        </w:rPr>
      </w:pPr>
      <w:r>
        <w:rPr>
          <w:rFonts w:cs="Times New Roman" w:ascii="Times New Roman" w:hAnsi="Times New Roman"/>
          <w:sz w:val="22"/>
          <w:u w:val="single"/>
        </w:rPr>
        <w:t>DOCUMENTATION</w:t>
      </w:r>
      <w:r>
        <w:rPr>
          <w:rFonts w:cs="Times New Roman" w:ascii="Times New Roman" w:hAnsi="Times New Roman"/>
          <w:b w:val="false"/>
          <w:sz w:val="22"/>
        </w:rPr>
        <w:t>.</w:t>
      </w:r>
    </w:p>
    <w:p>
      <w:pPr>
        <w:pStyle w:val="Heading2"/>
        <w:numPr>
          <w:ilvl w:val="1"/>
          <w:numId w:val="11"/>
        </w:numPr>
        <w:tabs>
          <w:tab w:val="clear" w:pos="720"/>
          <w:tab w:val="left" w:pos="540" w:leader="none"/>
        </w:tabs>
        <w:spacing w:before="0" w:after="240"/>
        <w:ind w:firstLine="720" w:start="0" w:end="0"/>
        <w:rPr>
          <w:sz w:val="22"/>
        </w:rPr>
      </w:pPr>
      <w:r>
        <w:rPr>
          <w:sz w:val="22"/>
        </w:rPr>
        <w:t>The Documentation comprises existing information which Customer is responsible to produce as of the Effective Date, as well as information that Customer is responsible to produce after the Effective Date.  The later-produced information is referred to as “</w:t>
      </w:r>
      <w:r>
        <w:rPr>
          <w:b/>
          <w:i/>
          <w:sz w:val="22"/>
        </w:rPr>
        <w:t>Deliverables</w:t>
      </w:r>
      <w:r>
        <w:rPr>
          <w:sz w:val="22"/>
        </w:rPr>
        <w:t xml:space="preserve">.”  </w:t>
      </w:r>
    </w:p>
    <w:p>
      <w:pPr>
        <w:pStyle w:val="Heading1"/>
        <w:numPr>
          <w:ilvl w:val="0"/>
          <w:numId w:val="15"/>
        </w:numPr>
        <w:spacing w:before="0" w:after="240"/>
        <w:ind w:hanging="0" w:start="0" w:end="0"/>
        <w:jc w:val="start"/>
        <w:rPr>
          <w:rFonts w:ascii="Times New Roman" w:hAnsi="Times New Roman" w:cs="Times New Roman"/>
          <w:b w:val="false"/>
          <w:sz w:val="22"/>
        </w:rPr>
      </w:pPr>
      <w:r>
        <w:rPr>
          <w:rFonts w:cs="Times New Roman" w:ascii="Times New Roman" w:hAnsi="Times New Roman"/>
          <w:sz w:val="22"/>
          <w:u w:val="single"/>
        </w:rPr>
        <w:t>DOCUMENTATION - DELIVERABLES</w:t>
      </w:r>
      <w:r>
        <w:rPr>
          <w:rFonts w:cs="Times New Roman" w:ascii="Times New Roman" w:hAnsi="Times New Roman"/>
          <w:b w:val="false"/>
          <w:sz w:val="22"/>
        </w:rPr>
        <w:t>.</w:t>
      </w:r>
    </w:p>
    <w:p>
      <w:pPr>
        <w:pStyle w:val="Heading2"/>
        <w:numPr>
          <w:ilvl w:val="1"/>
          <w:numId w:val="11"/>
        </w:numPr>
        <w:tabs>
          <w:tab w:val="clear" w:pos="720"/>
          <w:tab w:val="left" w:pos="540" w:leader="none"/>
        </w:tabs>
        <w:spacing w:before="0" w:after="240"/>
        <w:ind w:firstLine="720" w:start="0" w:end="0"/>
        <w:rPr>
          <w:sz w:val="22"/>
        </w:rPr>
      </w:pPr>
      <w:r>
        <w:rPr>
          <w:sz w:val="22"/>
        </w:rPr>
        <w:t>CUSTOMER IS REQUIRED TO DEVELOP AND DELIVER TO EC OUTLOOK THE DELIVERABLES.  THE STANDARD BY WHICH THE ADEQUACY OF THESE DELIVERABLES WILL BE MEASURED WILL BE AS FOLLOWS. SUCH DELIVERABLES WILL BE IN SUFFICIENT DETAIL TO ALLOW SYSTEMS OPERATING AND DEVELOPMENT PERSONNEL NOT INVOLVED IN THE DAY TO DAY OPERATIONS TO UNDERSTAND THE FUNCTIONAL AND TECHNICAL DESIGNS TO ALLOW FOR EFFICIENT AND EFFECTIVE PROGRAMMING ENHANCEMENTS, ADDITIONS, MODIFICATIONS AND TROUBLESHOOTING (DEBUGGING) OF THE EDI HUB SYSTEM.  SUCH DELIVERABLES WILL ALSO BE IN SUFFICIENT DETAIL TO ALLOW SUCH SYSTEMS OPERATING AND DEVELOPMENT PERSONNEL TO EFFECTIVELY AND EFFICIENTLY OPERATE AND ADMINISTER THE EDI HUB SYSTEM.  THE INTENT OF THESE STANDARDS IS TO PREPARE SUCH TECHNICAL DOCUMENTATION DELIVERABLES TO A STANDARD THAT WOULD BE DEEMED TO BE COMPLETE AND USEFUL BY A REASONABLE AND COMPETENT INFORMATION TECHNOLOGY PROFESSIONAL.  The Deliverables are to generally include, but not be limited to, a System Documentation Project Plan, which is to include a project plan with a timeline that enumerates key deliverable milestones, specific tasks assigned to individuals, and deliverable due dates, and regarding which an individual will be identified as the project manager responsible for deliverables that include those outlined below.</w:t>
      </w:r>
    </w:p>
    <w:p>
      <w:pPr>
        <w:pStyle w:val="Heading2"/>
        <w:numPr>
          <w:ilvl w:val="1"/>
          <w:numId w:val="11"/>
        </w:numPr>
        <w:tabs>
          <w:tab w:val="clear" w:pos="720"/>
          <w:tab w:val="left" w:pos="540" w:leader="none"/>
        </w:tabs>
        <w:spacing w:before="0" w:after="240"/>
        <w:ind w:firstLine="720" w:start="0" w:end="0"/>
        <w:rPr>
          <w:sz w:val="22"/>
        </w:rPr>
      </w:pPr>
      <w:r>
        <w:rPr>
          <w:b/>
          <w:caps/>
          <w:sz w:val="22"/>
        </w:rPr>
        <w:t>System Functional Specifications</w:t>
      </w:r>
      <w:r>
        <w:rPr>
          <w:sz w:val="22"/>
        </w:rPr>
        <w:t>.</w:t>
      </w:r>
    </w:p>
    <w:p>
      <w:pPr>
        <w:pStyle w:val="Heading4"/>
        <w:numPr>
          <w:ilvl w:val="1"/>
          <w:numId w:val="1"/>
        </w:numPr>
        <w:tabs>
          <w:tab w:val="clear" w:pos="720"/>
          <w:tab w:val="left" w:pos="1800" w:leader="none"/>
        </w:tabs>
        <w:ind w:firstLine="360" w:start="720" w:end="0"/>
        <w:rPr/>
      </w:pPr>
      <w:r>
        <w:rPr/>
        <w:t>System Scope, comprising information regarding the following:</w:t>
      </w:r>
    </w:p>
    <w:p>
      <w:pPr>
        <w:pStyle w:val="Heading5"/>
        <w:numPr>
          <w:ilvl w:val="2"/>
          <w:numId w:val="1"/>
        </w:numPr>
        <w:ind w:hanging="0" w:start="0"/>
        <w:rPr/>
      </w:pPr>
      <w:r>
        <w:rPr/>
        <w:t>Purpose and Summary</w:t>
      </w:r>
    </w:p>
    <w:p>
      <w:pPr>
        <w:pStyle w:val="Heading5"/>
        <w:numPr>
          <w:ilvl w:val="2"/>
          <w:numId w:val="1"/>
        </w:numPr>
        <w:ind w:hanging="0" w:start="0"/>
        <w:rPr/>
      </w:pPr>
      <w:r>
        <w:rPr/>
        <w:t>Intended Benefits</w:t>
      </w:r>
    </w:p>
    <w:p>
      <w:pPr>
        <w:pStyle w:val="Heading4"/>
        <w:numPr>
          <w:ilvl w:val="1"/>
          <w:numId w:val="1"/>
        </w:numPr>
        <w:tabs>
          <w:tab w:val="clear" w:pos="720"/>
          <w:tab w:val="left" w:pos="1800" w:leader="none"/>
        </w:tabs>
        <w:ind w:firstLine="360" w:start="720" w:end="0"/>
        <w:rPr/>
      </w:pPr>
      <w:r>
        <w:rPr/>
        <w:t>System Functions, comprising information regarding the following:</w:t>
      </w:r>
    </w:p>
    <w:p>
      <w:pPr>
        <w:pStyle w:val="Heading5"/>
        <w:numPr>
          <w:ilvl w:val="2"/>
          <w:numId w:val="1"/>
        </w:numPr>
        <w:ind w:hanging="0" w:start="0"/>
        <w:rPr/>
      </w:pPr>
      <w:r>
        <w:rPr/>
        <w:t>Document Interchange and Translation</w:t>
      </w:r>
    </w:p>
    <w:p>
      <w:pPr>
        <w:pStyle w:val="Heading5"/>
        <w:numPr>
          <w:ilvl w:val="2"/>
          <w:numId w:val="1"/>
        </w:numPr>
        <w:ind w:hanging="0" w:start="0"/>
        <w:rPr/>
      </w:pPr>
      <w:r>
        <w:rPr/>
        <w:t>Integration with External Applications</w:t>
      </w:r>
    </w:p>
    <w:p>
      <w:pPr>
        <w:pStyle w:val="Heading5"/>
        <w:numPr>
          <w:ilvl w:val="2"/>
          <w:numId w:val="1"/>
        </w:numPr>
        <w:ind w:hanging="0" w:start="0"/>
        <w:rPr/>
      </w:pPr>
      <w:r>
        <w:rPr/>
        <w:t>Management Reporting</w:t>
      </w:r>
    </w:p>
    <w:p>
      <w:pPr>
        <w:pStyle w:val="Heading4"/>
        <w:numPr>
          <w:ilvl w:val="1"/>
          <w:numId w:val="1"/>
        </w:numPr>
        <w:tabs>
          <w:tab w:val="clear" w:pos="720"/>
        </w:tabs>
        <w:ind w:firstLine="360" w:start="720" w:end="0"/>
        <w:rPr/>
      </w:pPr>
      <w:r>
        <w:rPr/>
        <w:t>Customer Classes and Characteristics, comprising information regarding the following:</w:t>
      </w:r>
    </w:p>
    <w:p>
      <w:pPr>
        <w:pStyle w:val="Heading5"/>
        <w:numPr>
          <w:ilvl w:val="2"/>
          <w:numId w:val="1"/>
        </w:numPr>
        <w:ind w:hanging="0" w:start="0"/>
        <w:rPr/>
      </w:pPr>
      <w:r>
        <w:rPr/>
        <w:t>Trading Hubs and Documents Processed</w:t>
      </w:r>
    </w:p>
    <w:p>
      <w:pPr>
        <w:pStyle w:val="Heading5"/>
        <w:numPr>
          <w:ilvl w:val="2"/>
          <w:numId w:val="1"/>
        </w:numPr>
        <w:ind w:hanging="0" w:start="0"/>
        <w:rPr/>
      </w:pPr>
      <w:r>
        <w:rPr/>
        <w:t>Trading Partners and Documents Processed</w:t>
      </w:r>
    </w:p>
    <w:p>
      <w:pPr>
        <w:pStyle w:val="Heading5"/>
        <w:numPr>
          <w:ilvl w:val="2"/>
          <w:numId w:val="1"/>
        </w:numPr>
        <w:ind w:hanging="0" w:start="0"/>
        <w:rPr/>
      </w:pPr>
      <w:r>
        <w:rPr/>
        <w:t>Management of Hubs and Partners</w:t>
      </w:r>
    </w:p>
    <w:p>
      <w:pPr>
        <w:pStyle w:val="Heading5"/>
        <w:numPr>
          <w:ilvl w:val="2"/>
          <w:numId w:val="1"/>
        </w:numPr>
        <w:ind w:hanging="0" w:start="0"/>
        <w:rPr/>
      </w:pPr>
      <w:r>
        <w:rPr/>
        <w:t>System Administrators</w:t>
      </w:r>
    </w:p>
    <w:p>
      <w:pPr>
        <w:pStyle w:val="Heading4"/>
        <w:numPr>
          <w:ilvl w:val="1"/>
          <w:numId w:val="1"/>
        </w:numPr>
        <w:tabs>
          <w:tab w:val="clear" w:pos="720"/>
          <w:tab w:val="left" w:pos="1800" w:leader="none"/>
        </w:tabs>
        <w:ind w:firstLine="360" w:start="720" w:end="0"/>
        <w:rPr/>
      </w:pPr>
      <w:r>
        <w:rPr/>
        <w:t>Performance Requirements.</w:t>
      </w:r>
    </w:p>
    <w:p>
      <w:pPr>
        <w:pStyle w:val="Heading4"/>
        <w:numPr>
          <w:ilvl w:val="1"/>
          <w:numId w:val="1"/>
        </w:numPr>
        <w:tabs>
          <w:tab w:val="clear" w:pos="720"/>
          <w:tab w:val="left" w:pos="1800" w:leader="none"/>
        </w:tabs>
        <w:ind w:firstLine="360" w:start="720" w:end="0"/>
        <w:rPr/>
      </w:pPr>
      <w:r>
        <w:rPr/>
        <w:t>Regulatory Requirements.</w:t>
      </w:r>
    </w:p>
    <w:p>
      <w:pPr>
        <w:pStyle w:val="Heading4"/>
        <w:numPr>
          <w:ilvl w:val="1"/>
          <w:numId w:val="1"/>
        </w:numPr>
        <w:tabs>
          <w:tab w:val="clear" w:pos="720"/>
          <w:tab w:val="left" w:pos="1800" w:leader="none"/>
        </w:tabs>
        <w:ind w:firstLine="360" w:start="720" w:end="0"/>
        <w:rPr/>
      </w:pPr>
      <w:r>
        <w:rPr/>
        <w:t>Security Requirements.</w:t>
      </w:r>
    </w:p>
    <w:p>
      <w:pPr>
        <w:pStyle w:val="Heading4"/>
        <w:numPr>
          <w:ilvl w:val="1"/>
          <w:numId w:val="1"/>
        </w:numPr>
        <w:tabs>
          <w:tab w:val="clear" w:pos="720"/>
          <w:tab w:val="left" w:pos="1800" w:leader="none"/>
        </w:tabs>
        <w:ind w:firstLine="360" w:start="720" w:end="0"/>
        <w:rPr/>
      </w:pPr>
      <w:r>
        <w:rPr/>
        <w:t>Service Level Requirements.</w:t>
      </w:r>
    </w:p>
    <w:p>
      <w:pPr>
        <w:pStyle w:val="Heading2"/>
        <w:numPr>
          <w:ilvl w:val="1"/>
          <w:numId w:val="11"/>
        </w:numPr>
        <w:tabs>
          <w:tab w:val="clear" w:pos="720"/>
          <w:tab w:val="left" w:pos="540" w:leader="none"/>
        </w:tabs>
        <w:spacing w:before="0" w:after="240"/>
        <w:ind w:firstLine="720" w:start="0" w:end="0"/>
        <w:rPr>
          <w:sz w:val="22"/>
        </w:rPr>
      </w:pPr>
      <w:r>
        <w:rPr>
          <w:b/>
          <w:caps/>
          <w:sz w:val="22"/>
        </w:rPr>
        <w:t>Technical Specifications</w:t>
      </w:r>
      <w:r>
        <w:rPr>
          <w:sz w:val="22"/>
        </w:rPr>
        <w:t>.</w:t>
      </w:r>
    </w:p>
    <w:p>
      <w:pPr>
        <w:pStyle w:val="Heading4"/>
        <w:numPr>
          <w:ilvl w:val="1"/>
          <w:numId w:val="17"/>
        </w:numPr>
        <w:tabs>
          <w:tab w:val="clear" w:pos="720"/>
          <w:tab w:val="left" w:pos="1800" w:leader="none"/>
        </w:tabs>
        <w:ind w:firstLine="360" w:start="720" w:end="0"/>
        <w:rPr/>
      </w:pPr>
      <w:r>
        <w:rPr/>
        <w:t>Architecture Diagram</w:t>
      </w:r>
    </w:p>
    <w:p>
      <w:pPr>
        <w:pStyle w:val="Normal"/>
        <w:ind w:firstLine="720" w:end="0"/>
        <w:jc w:val="both"/>
        <w:rPr/>
      </w:pPr>
      <w:r>
        <w:rPr/>
        <w:t>The Architecture Diagram defines boundaries and interfaces between applications; it organizes major software components into tiers that include the operating systems, file systems and communications subsystems; it shows protocols and components used for internal and external data interchange; and it specifies which components use the database systems and defines the access methods employed.</w:t>
      </w:r>
    </w:p>
    <w:p>
      <w:pPr>
        <w:pStyle w:val="Normal"/>
        <w:rPr/>
      </w:pPr>
      <w:r>
        <w:rPr/>
      </w:r>
    </w:p>
    <w:p>
      <w:pPr>
        <w:pStyle w:val="Heading4"/>
        <w:numPr>
          <w:ilvl w:val="1"/>
          <w:numId w:val="1"/>
        </w:numPr>
        <w:tabs>
          <w:tab w:val="clear" w:pos="720"/>
          <w:tab w:val="left" w:pos="1800" w:leader="none"/>
        </w:tabs>
        <w:ind w:firstLine="360" w:start="720" w:end="0"/>
        <w:rPr/>
      </w:pPr>
      <w:r>
        <w:rPr/>
        <w:t>Document Processing Flows regarding at least the following:</w:t>
      </w:r>
    </w:p>
    <w:p>
      <w:pPr>
        <w:pStyle w:val="Heading5"/>
        <w:numPr>
          <w:ilvl w:val="2"/>
          <w:numId w:val="1"/>
        </w:numPr>
        <w:spacing w:before="0" w:after="0"/>
        <w:ind w:hanging="0" w:start="0"/>
        <w:rPr/>
      </w:pPr>
      <w:r>
        <w:rPr/>
        <w:t>Trading Hubs</w:t>
      </w:r>
    </w:p>
    <w:tbl>
      <w:tblPr>
        <w:tblW w:w="6394" w:type="dxa"/>
        <w:jc w:val="center"/>
        <w:tblInd w:w="0" w:type="dxa"/>
        <w:tblLayout w:type="fixed"/>
        <w:tblCellMar>
          <w:top w:w="0" w:type="dxa"/>
          <w:start w:w="30" w:type="dxa"/>
          <w:bottom w:w="0" w:type="dxa"/>
          <w:end w:w="30" w:type="dxa"/>
        </w:tblCellMar>
      </w:tblPr>
      <w:tblGrid>
        <w:gridCol w:w="5440"/>
        <w:gridCol w:w="954"/>
      </w:tblGrid>
      <w:tr>
        <w:trPr/>
        <w:tc>
          <w:tcPr>
            <w:tcW w:w="5440" w:type="dxa"/>
            <w:tcBorders>
              <w:top w:val="single" w:sz="6" w:space="0" w:color="000000"/>
              <w:bottom w:val="single" w:sz="6" w:space="0" w:color="000000"/>
            </w:tcBorders>
          </w:tcPr>
          <w:p>
            <w:pPr>
              <w:pStyle w:val="Normal"/>
              <w:rPr/>
            </w:pPr>
            <w:r>
              <w:rPr/>
              <w:t>Enron Trading Hub</w:t>
            </w:r>
          </w:p>
        </w:tc>
        <w:tc>
          <w:tcPr>
            <w:tcW w:w="954" w:type="dxa"/>
            <w:tcBorders>
              <w:top w:val="single" w:sz="6" w:space="0" w:color="000000"/>
              <w:bottom w:val="single" w:sz="6" w:space="0" w:color="000000"/>
            </w:tcBorders>
          </w:tcPr>
          <w:p>
            <w:pPr>
              <w:pStyle w:val="Normal"/>
              <w:rPr/>
            </w:pPr>
            <w:r>
              <w:rPr/>
              <w:t>Industry</w:t>
            </w:r>
          </w:p>
        </w:tc>
      </w:tr>
      <w:tr>
        <w:trPr/>
        <w:tc>
          <w:tcPr>
            <w:tcW w:w="5440" w:type="dxa"/>
            <w:tcBorders/>
          </w:tcPr>
          <w:p>
            <w:pPr>
              <w:pStyle w:val="Normal"/>
              <w:rPr/>
            </w:pPr>
            <w:r>
              <w:rPr/>
              <w:t>Enron Capital and Trade Resources</w:t>
            </w:r>
          </w:p>
        </w:tc>
        <w:tc>
          <w:tcPr>
            <w:tcW w:w="954" w:type="dxa"/>
            <w:tcBorders/>
          </w:tcPr>
          <w:p>
            <w:pPr>
              <w:pStyle w:val="Normal"/>
              <w:rPr/>
            </w:pPr>
            <w:r>
              <w:rPr/>
              <w:t>Gas</w:t>
            </w:r>
          </w:p>
        </w:tc>
      </w:tr>
      <w:tr>
        <w:trPr/>
        <w:tc>
          <w:tcPr>
            <w:tcW w:w="5440" w:type="dxa"/>
            <w:tcBorders/>
          </w:tcPr>
          <w:p>
            <w:pPr>
              <w:pStyle w:val="Normal"/>
              <w:rPr/>
            </w:pPr>
            <w:r>
              <w:rPr/>
              <w:t>Florida Gas Transmission</w:t>
            </w:r>
          </w:p>
        </w:tc>
        <w:tc>
          <w:tcPr>
            <w:tcW w:w="954" w:type="dxa"/>
            <w:tcBorders/>
          </w:tcPr>
          <w:p>
            <w:pPr>
              <w:pStyle w:val="Normal"/>
              <w:rPr/>
            </w:pPr>
            <w:r>
              <w:rPr/>
              <w:t>Gas</w:t>
            </w:r>
          </w:p>
        </w:tc>
      </w:tr>
      <w:tr>
        <w:trPr/>
        <w:tc>
          <w:tcPr>
            <w:tcW w:w="5440" w:type="dxa"/>
            <w:tcBorders/>
          </w:tcPr>
          <w:p>
            <w:pPr>
              <w:pStyle w:val="Normal"/>
              <w:rPr/>
            </w:pPr>
            <w:r>
              <w:rPr/>
              <w:t>Northern Border Pipeline</w:t>
            </w:r>
          </w:p>
        </w:tc>
        <w:tc>
          <w:tcPr>
            <w:tcW w:w="954" w:type="dxa"/>
            <w:tcBorders/>
          </w:tcPr>
          <w:p>
            <w:pPr>
              <w:pStyle w:val="Normal"/>
              <w:rPr/>
            </w:pPr>
            <w:r>
              <w:rPr/>
              <w:t>Gas</w:t>
            </w:r>
          </w:p>
        </w:tc>
      </w:tr>
      <w:tr>
        <w:trPr/>
        <w:tc>
          <w:tcPr>
            <w:tcW w:w="5440" w:type="dxa"/>
            <w:tcBorders/>
          </w:tcPr>
          <w:p>
            <w:pPr>
              <w:pStyle w:val="Normal"/>
              <w:rPr/>
            </w:pPr>
            <w:r>
              <w:rPr/>
              <w:t>Northern Natural Gas</w:t>
            </w:r>
          </w:p>
        </w:tc>
        <w:tc>
          <w:tcPr>
            <w:tcW w:w="954" w:type="dxa"/>
            <w:tcBorders/>
          </w:tcPr>
          <w:p>
            <w:pPr>
              <w:pStyle w:val="Normal"/>
              <w:rPr/>
            </w:pPr>
            <w:r>
              <w:rPr/>
              <w:t>Gas</w:t>
            </w:r>
          </w:p>
        </w:tc>
      </w:tr>
      <w:tr>
        <w:trPr/>
        <w:tc>
          <w:tcPr>
            <w:tcW w:w="5440" w:type="dxa"/>
            <w:tcBorders/>
          </w:tcPr>
          <w:p>
            <w:pPr>
              <w:pStyle w:val="Normal"/>
              <w:rPr/>
            </w:pPr>
            <w:r>
              <w:rPr/>
              <w:t>TransWestern Pipeline</w:t>
            </w:r>
          </w:p>
        </w:tc>
        <w:tc>
          <w:tcPr>
            <w:tcW w:w="954" w:type="dxa"/>
            <w:tcBorders/>
          </w:tcPr>
          <w:p>
            <w:pPr>
              <w:pStyle w:val="Normal"/>
              <w:rPr/>
            </w:pPr>
            <w:r>
              <w:rPr/>
              <w:t>Gas</w:t>
            </w:r>
          </w:p>
        </w:tc>
      </w:tr>
      <w:tr>
        <w:trPr>
          <w:trHeight w:val="120" w:hRule="exact"/>
        </w:trPr>
        <w:tc>
          <w:tcPr>
            <w:tcW w:w="5440" w:type="dxa"/>
            <w:tcBorders/>
            <w:shd w:fill="DFDFDF" w:val="clear"/>
          </w:tcPr>
          <w:p>
            <w:pPr>
              <w:pStyle w:val="Normal"/>
              <w:snapToGrid w:val="false"/>
              <w:rPr/>
            </w:pPr>
            <w:r>
              <w:rPr/>
            </w:r>
          </w:p>
        </w:tc>
        <w:tc>
          <w:tcPr>
            <w:tcW w:w="954" w:type="dxa"/>
            <w:tcBorders/>
            <w:shd w:fill="DFDFDF" w:val="clear"/>
          </w:tcPr>
          <w:p>
            <w:pPr>
              <w:pStyle w:val="Normal"/>
              <w:snapToGrid w:val="false"/>
              <w:rPr/>
            </w:pPr>
            <w:r>
              <w:rPr/>
            </w:r>
          </w:p>
        </w:tc>
      </w:tr>
      <w:tr>
        <w:trPr/>
        <w:tc>
          <w:tcPr>
            <w:tcW w:w="5440" w:type="dxa"/>
            <w:tcBorders/>
          </w:tcPr>
          <w:p>
            <w:pPr>
              <w:pStyle w:val="Normal"/>
              <w:rPr/>
            </w:pPr>
            <w:r>
              <w:rPr/>
              <w:t>Enron Energy Services - Houston</w:t>
            </w:r>
          </w:p>
        </w:tc>
        <w:tc>
          <w:tcPr>
            <w:tcW w:w="954" w:type="dxa"/>
            <w:tcBorders/>
          </w:tcPr>
          <w:p>
            <w:pPr>
              <w:pStyle w:val="Normal"/>
              <w:rPr/>
            </w:pPr>
            <w:r>
              <w:rPr/>
              <w:t>Electric</w:t>
            </w:r>
          </w:p>
        </w:tc>
      </w:tr>
      <w:tr>
        <w:trPr/>
        <w:tc>
          <w:tcPr>
            <w:tcW w:w="5440" w:type="dxa"/>
            <w:tcBorders/>
          </w:tcPr>
          <w:p>
            <w:pPr>
              <w:pStyle w:val="Normal"/>
              <w:rPr/>
            </w:pPr>
            <w:r>
              <w:rPr/>
              <w:t>Enron Energy Services - CSC Agreement, Dublin, Ohio</w:t>
            </w:r>
          </w:p>
        </w:tc>
        <w:tc>
          <w:tcPr>
            <w:tcW w:w="954" w:type="dxa"/>
            <w:tcBorders/>
          </w:tcPr>
          <w:p>
            <w:pPr>
              <w:pStyle w:val="Normal"/>
              <w:rPr/>
            </w:pPr>
            <w:r>
              <w:rPr/>
              <w:t>Electric</w:t>
            </w:r>
          </w:p>
        </w:tc>
      </w:tr>
      <w:tr>
        <w:trPr/>
        <w:tc>
          <w:tcPr>
            <w:tcW w:w="5440" w:type="dxa"/>
            <w:tcBorders/>
          </w:tcPr>
          <w:p>
            <w:pPr>
              <w:pStyle w:val="Normal"/>
              <w:rPr/>
            </w:pPr>
            <w:r>
              <w:rPr/>
              <w:t>Enron Power Marketing - California</w:t>
            </w:r>
          </w:p>
        </w:tc>
        <w:tc>
          <w:tcPr>
            <w:tcW w:w="954" w:type="dxa"/>
            <w:tcBorders/>
          </w:tcPr>
          <w:p>
            <w:pPr>
              <w:pStyle w:val="Normal"/>
              <w:rPr/>
            </w:pPr>
            <w:r>
              <w:rPr/>
              <w:t>Electric</w:t>
            </w:r>
          </w:p>
        </w:tc>
      </w:tr>
      <w:tr>
        <w:trPr/>
        <w:tc>
          <w:tcPr>
            <w:tcW w:w="5440" w:type="dxa"/>
            <w:tcBorders/>
          </w:tcPr>
          <w:p>
            <w:pPr>
              <w:pStyle w:val="Normal"/>
              <w:rPr/>
            </w:pPr>
            <w:r>
              <w:rPr/>
              <w:t>Portland General Electric</w:t>
            </w:r>
          </w:p>
        </w:tc>
        <w:tc>
          <w:tcPr>
            <w:tcW w:w="954" w:type="dxa"/>
            <w:tcBorders/>
          </w:tcPr>
          <w:p>
            <w:pPr>
              <w:pStyle w:val="Normal"/>
              <w:rPr/>
            </w:pPr>
            <w:r>
              <w:rPr/>
              <w:t>Electric</w:t>
            </w:r>
          </w:p>
        </w:tc>
      </w:tr>
      <w:tr>
        <w:trPr>
          <w:trHeight w:val="120" w:hRule="exact"/>
        </w:trPr>
        <w:tc>
          <w:tcPr>
            <w:tcW w:w="5440" w:type="dxa"/>
            <w:tcBorders/>
            <w:shd w:fill="DFDFDF" w:val="clear"/>
          </w:tcPr>
          <w:p>
            <w:pPr>
              <w:pStyle w:val="Normal"/>
              <w:snapToGrid w:val="false"/>
              <w:rPr/>
            </w:pPr>
            <w:r>
              <w:rPr/>
            </w:r>
          </w:p>
        </w:tc>
        <w:tc>
          <w:tcPr>
            <w:tcW w:w="954" w:type="dxa"/>
            <w:tcBorders/>
            <w:shd w:fill="DFDFDF" w:val="clear"/>
          </w:tcPr>
          <w:p>
            <w:pPr>
              <w:pStyle w:val="Normal"/>
              <w:snapToGrid w:val="false"/>
              <w:rPr/>
            </w:pPr>
            <w:r>
              <w:rPr/>
            </w:r>
          </w:p>
        </w:tc>
      </w:tr>
      <w:tr>
        <w:trPr/>
        <w:tc>
          <w:tcPr>
            <w:tcW w:w="5440" w:type="dxa"/>
            <w:tcBorders/>
          </w:tcPr>
          <w:p>
            <w:pPr>
              <w:pStyle w:val="Normal"/>
              <w:rPr/>
            </w:pPr>
            <w:r>
              <w:rPr/>
              <w:t>Bentley</w:t>
            </w:r>
          </w:p>
        </w:tc>
        <w:tc>
          <w:tcPr>
            <w:tcW w:w="954" w:type="dxa"/>
            <w:tcBorders/>
          </w:tcPr>
          <w:p>
            <w:pPr>
              <w:pStyle w:val="Normal"/>
              <w:rPr/>
            </w:pPr>
            <w:r>
              <w:rPr/>
              <w:t>Financial</w:t>
            </w:r>
          </w:p>
        </w:tc>
      </w:tr>
      <w:tr>
        <w:trPr/>
        <w:tc>
          <w:tcPr>
            <w:tcW w:w="5440" w:type="dxa"/>
            <w:tcBorders/>
          </w:tcPr>
          <w:p>
            <w:pPr>
              <w:pStyle w:val="Normal"/>
              <w:rPr/>
            </w:pPr>
            <w:r>
              <w:rPr/>
              <w:t>Enron Corp – HR</w:t>
            </w:r>
          </w:p>
        </w:tc>
        <w:tc>
          <w:tcPr>
            <w:tcW w:w="954" w:type="dxa"/>
            <w:tcBorders/>
          </w:tcPr>
          <w:p>
            <w:pPr>
              <w:pStyle w:val="Normal"/>
              <w:rPr/>
            </w:pPr>
            <w:r>
              <w:rPr/>
              <w:t>Financial</w:t>
            </w:r>
          </w:p>
        </w:tc>
      </w:tr>
      <w:tr>
        <w:trPr/>
        <w:tc>
          <w:tcPr>
            <w:tcW w:w="5440" w:type="dxa"/>
            <w:tcBorders/>
          </w:tcPr>
          <w:p>
            <w:pPr>
              <w:pStyle w:val="Normal"/>
              <w:rPr/>
            </w:pPr>
            <w:r>
              <w:rPr/>
              <w:t>Enron Corp - SAP HR</w:t>
            </w:r>
          </w:p>
        </w:tc>
        <w:tc>
          <w:tcPr>
            <w:tcW w:w="954" w:type="dxa"/>
            <w:tcBorders/>
          </w:tcPr>
          <w:p>
            <w:pPr>
              <w:pStyle w:val="Normal"/>
              <w:rPr/>
            </w:pPr>
            <w:r>
              <w:rPr/>
              <w:t>Financial</w:t>
            </w:r>
          </w:p>
        </w:tc>
      </w:tr>
      <w:tr>
        <w:trPr/>
        <w:tc>
          <w:tcPr>
            <w:tcW w:w="5440" w:type="dxa"/>
            <w:tcBorders/>
          </w:tcPr>
          <w:p>
            <w:pPr>
              <w:pStyle w:val="Normal"/>
              <w:rPr/>
            </w:pPr>
            <w:r>
              <w:rPr/>
              <w:t>Enron Corp - SAP Acctg</w:t>
            </w:r>
          </w:p>
        </w:tc>
        <w:tc>
          <w:tcPr>
            <w:tcW w:w="954" w:type="dxa"/>
            <w:tcBorders/>
          </w:tcPr>
          <w:p>
            <w:pPr>
              <w:pStyle w:val="Normal"/>
              <w:rPr/>
            </w:pPr>
            <w:r>
              <w:rPr/>
              <w:t>Financial</w:t>
            </w:r>
          </w:p>
        </w:tc>
      </w:tr>
      <w:tr>
        <w:trPr/>
        <w:tc>
          <w:tcPr>
            <w:tcW w:w="5440" w:type="dxa"/>
            <w:tcBorders/>
          </w:tcPr>
          <w:p>
            <w:pPr>
              <w:pStyle w:val="Normal"/>
              <w:rPr/>
            </w:pPr>
            <w:r>
              <w:rPr/>
              <w:t>Enron International</w:t>
            </w:r>
          </w:p>
        </w:tc>
        <w:tc>
          <w:tcPr>
            <w:tcW w:w="954" w:type="dxa"/>
            <w:tcBorders/>
          </w:tcPr>
          <w:p>
            <w:pPr>
              <w:pStyle w:val="Normal"/>
              <w:rPr/>
            </w:pPr>
            <w:r>
              <w:rPr/>
              <w:t>Financial</w:t>
            </w:r>
          </w:p>
        </w:tc>
      </w:tr>
      <w:tr>
        <w:trPr/>
        <w:tc>
          <w:tcPr>
            <w:tcW w:w="5440" w:type="dxa"/>
            <w:tcBorders/>
          </w:tcPr>
          <w:p>
            <w:pPr>
              <w:pStyle w:val="Normal"/>
              <w:rPr/>
            </w:pPr>
            <w:r>
              <w:rPr/>
              <w:t>Enron Treasury</w:t>
            </w:r>
          </w:p>
        </w:tc>
        <w:tc>
          <w:tcPr>
            <w:tcW w:w="954" w:type="dxa"/>
            <w:tcBorders/>
          </w:tcPr>
          <w:p>
            <w:pPr>
              <w:pStyle w:val="Normal"/>
              <w:rPr/>
            </w:pPr>
            <w:r>
              <w:rPr/>
              <w:t>Financial</w:t>
            </w:r>
          </w:p>
        </w:tc>
      </w:tr>
      <w:tr>
        <w:trPr/>
        <w:tc>
          <w:tcPr>
            <w:tcW w:w="5440" w:type="dxa"/>
            <w:tcBorders/>
          </w:tcPr>
          <w:p>
            <w:pPr>
              <w:pStyle w:val="Normal"/>
              <w:rPr/>
            </w:pPr>
            <w:r>
              <w:rPr/>
              <w:t>Enron Corp. - Inbound Invoices</w:t>
            </w:r>
          </w:p>
        </w:tc>
        <w:tc>
          <w:tcPr>
            <w:tcW w:w="954" w:type="dxa"/>
            <w:tcBorders/>
          </w:tcPr>
          <w:p>
            <w:pPr>
              <w:pStyle w:val="Normal"/>
              <w:rPr/>
            </w:pPr>
            <w:r>
              <w:rPr/>
              <w:t>Financial</w:t>
            </w:r>
          </w:p>
        </w:tc>
      </w:tr>
      <w:tr>
        <w:trPr/>
        <w:tc>
          <w:tcPr>
            <w:tcW w:w="5440" w:type="dxa"/>
            <w:tcBorders/>
          </w:tcPr>
          <w:p>
            <w:pPr>
              <w:pStyle w:val="Normal"/>
              <w:rPr/>
            </w:pPr>
            <w:r>
              <w:rPr/>
              <w:t>Enron Energy Services - Inbound Invoices</w:t>
            </w:r>
          </w:p>
          <w:p>
            <w:pPr>
              <w:pStyle w:val="Normal"/>
              <w:rPr/>
            </w:pPr>
            <w:r>
              <w:rPr/>
            </w:r>
          </w:p>
        </w:tc>
        <w:tc>
          <w:tcPr>
            <w:tcW w:w="954" w:type="dxa"/>
            <w:tcBorders/>
          </w:tcPr>
          <w:p>
            <w:pPr>
              <w:pStyle w:val="Normal"/>
              <w:rPr/>
            </w:pPr>
            <w:r>
              <w:rPr/>
              <w:t>Financial</w:t>
            </w:r>
          </w:p>
        </w:tc>
      </w:tr>
    </w:tbl>
    <w:p>
      <w:pPr>
        <w:pStyle w:val="Heading5"/>
        <w:numPr>
          <w:ilvl w:val="0"/>
          <w:numId w:val="0"/>
        </w:numPr>
        <w:spacing w:before="0" w:after="0"/>
        <w:ind w:hanging="0" w:start="0"/>
        <w:rPr/>
      </w:pPr>
      <w:r>
        <w:rPr/>
      </w:r>
    </w:p>
    <w:p>
      <w:pPr>
        <w:pStyle w:val="Heading5"/>
        <w:numPr>
          <w:ilvl w:val="2"/>
          <w:numId w:val="1"/>
        </w:numPr>
        <w:spacing w:before="0" w:after="0"/>
        <w:ind w:hanging="0" w:start="0"/>
        <w:rPr/>
      </w:pPr>
      <w:r>
        <w:rPr/>
        <w:t>Classes of Trading Partners</w:t>
      </w:r>
    </w:p>
    <w:p>
      <w:pPr>
        <w:pStyle w:val="BodyTextIndent2"/>
        <w:ind w:firstLine="720" w:start="0" w:end="0"/>
        <w:rPr>
          <w:sz w:val="22"/>
        </w:rPr>
      </w:pPr>
      <w:r>
        <w:rPr>
          <w:sz w:val="22"/>
        </w:rPr>
        <w:t>For each Trading Hub, organize Trading Partners into classes by document types exchanged, service requirements and interfaces used.</w:t>
      </w:r>
    </w:p>
    <w:p>
      <w:pPr>
        <w:pStyle w:val="BodyNumInd"/>
        <w:numPr>
          <w:ilvl w:val="0"/>
          <w:numId w:val="14"/>
        </w:numPr>
        <w:tabs>
          <w:tab w:val="clear" w:pos="1080"/>
          <w:tab w:val="left" w:pos="360" w:leader="none"/>
        </w:tabs>
        <w:ind w:firstLine="1800" w:start="360" w:end="0"/>
        <w:rPr>
          <w:i/>
          <w:i/>
          <w:sz w:val="22"/>
        </w:rPr>
      </w:pPr>
      <w:r>
        <w:rPr>
          <w:i/>
          <w:sz w:val="22"/>
        </w:rPr>
        <w:t>Documents Exchanged</w:t>
      </w:r>
    </w:p>
    <w:p>
      <w:pPr>
        <w:pStyle w:val="BodyNumInd"/>
        <w:numPr>
          <w:ilvl w:val="0"/>
          <w:numId w:val="14"/>
        </w:numPr>
        <w:tabs>
          <w:tab w:val="clear" w:pos="1080"/>
          <w:tab w:val="left" w:pos="360" w:leader="none"/>
        </w:tabs>
        <w:ind w:firstLine="1800" w:start="360" w:end="0"/>
        <w:rPr>
          <w:i/>
          <w:i/>
          <w:sz w:val="22"/>
        </w:rPr>
      </w:pPr>
      <w:r>
        <w:rPr>
          <w:i/>
          <w:sz w:val="22"/>
        </w:rPr>
        <w:t>Service Requirements</w:t>
      </w:r>
    </w:p>
    <w:p>
      <w:pPr>
        <w:pStyle w:val="BodyNumInd"/>
        <w:numPr>
          <w:ilvl w:val="0"/>
          <w:numId w:val="14"/>
        </w:numPr>
        <w:tabs>
          <w:tab w:val="clear" w:pos="1080"/>
          <w:tab w:val="left" w:pos="360" w:leader="none"/>
        </w:tabs>
        <w:ind w:firstLine="1800" w:start="360" w:end="0"/>
        <w:rPr>
          <w:i/>
          <w:i/>
          <w:sz w:val="22"/>
        </w:rPr>
      </w:pPr>
      <w:r>
        <w:rPr>
          <w:i/>
          <w:sz w:val="22"/>
        </w:rPr>
        <w:t>External Application Interfaces</w:t>
      </w:r>
    </w:p>
    <w:p>
      <w:pPr>
        <w:pStyle w:val="Heading4"/>
        <w:numPr>
          <w:ilvl w:val="1"/>
          <w:numId w:val="1"/>
        </w:numPr>
        <w:tabs>
          <w:tab w:val="clear" w:pos="720"/>
          <w:tab w:val="left" w:pos="1800" w:leader="none"/>
        </w:tabs>
        <w:ind w:firstLine="360" w:start="720" w:end="0"/>
        <w:rPr/>
      </w:pPr>
      <w:r>
        <w:rPr/>
        <w:t>Document Types:</w:t>
      </w:r>
    </w:p>
    <w:p>
      <w:pPr>
        <w:pStyle w:val="Normal"/>
        <w:ind w:firstLine="720" w:end="0"/>
        <w:jc w:val="both"/>
        <w:rPr/>
      </w:pPr>
      <w:r>
        <w:rPr/>
        <w:t>Organize document types by Trading Hub and Class of Trading Partner.  For each document type specify the following:</w:t>
      </w:r>
    </w:p>
    <w:p>
      <w:pPr>
        <w:pStyle w:val="Normal"/>
        <w:rPr/>
      </w:pPr>
      <w:r>
        <w:rPr/>
      </w:r>
    </w:p>
    <w:p>
      <w:pPr>
        <w:pStyle w:val="Heading5"/>
        <w:numPr>
          <w:ilvl w:val="2"/>
          <w:numId w:val="1"/>
        </w:numPr>
        <w:ind w:hanging="0" w:start="0"/>
        <w:rPr/>
      </w:pPr>
      <w:r>
        <w:rPr/>
        <w:t>Purpose</w:t>
      </w:r>
    </w:p>
    <w:p>
      <w:pPr>
        <w:pStyle w:val="Heading5"/>
        <w:numPr>
          <w:ilvl w:val="2"/>
          <w:numId w:val="1"/>
        </w:numPr>
        <w:ind w:hanging="0" w:start="0"/>
        <w:rPr/>
      </w:pPr>
      <w:r>
        <w:rPr/>
        <w:t>Source or Destination</w:t>
      </w:r>
    </w:p>
    <w:p>
      <w:pPr>
        <w:pStyle w:val="Heading5"/>
        <w:numPr>
          <w:ilvl w:val="2"/>
          <w:numId w:val="1"/>
        </w:numPr>
        <w:ind w:hanging="0" w:start="0"/>
        <w:rPr/>
      </w:pPr>
      <w:r>
        <w:rPr/>
        <w:t>Delivery Mechanism</w:t>
      </w:r>
    </w:p>
    <w:p>
      <w:pPr>
        <w:pStyle w:val="Heading5"/>
        <w:numPr>
          <w:ilvl w:val="2"/>
          <w:numId w:val="1"/>
        </w:numPr>
        <w:ind w:hanging="0" w:start="0"/>
        <w:rPr/>
      </w:pPr>
      <w:r>
        <w:rPr/>
        <w:t>Data Structure</w:t>
      </w:r>
    </w:p>
    <w:p>
      <w:pPr>
        <w:pStyle w:val="Heading5"/>
        <w:numPr>
          <w:ilvl w:val="2"/>
          <w:numId w:val="1"/>
        </w:numPr>
        <w:ind w:hanging="0" w:start="0"/>
        <w:rPr/>
      </w:pPr>
      <w:r>
        <w:rPr/>
        <w:t>Data Validation</w:t>
      </w:r>
    </w:p>
    <w:p>
      <w:pPr>
        <w:pStyle w:val="Heading5"/>
        <w:numPr>
          <w:ilvl w:val="2"/>
          <w:numId w:val="1"/>
        </w:numPr>
        <w:ind w:hanging="0" w:start="0"/>
        <w:rPr/>
      </w:pPr>
      <w:r>
        <w:rPr/>
        <w:t>Business Rules</w:t>
      </w:r>
    </w:p>
    <w:p>
      <w:pPr>
        <w:pStyle w:val="Heading5"/>
        <w:numPr>
          <w:ilvl w:val="2"/>
          <w:numId w:val="1"/>
        </w:numPr>
        <w:ind w:hanging="0" w:start="0"/>
        <w:rPr/>
      </w:pPr>
      <w:r>
        <w:rPr/>
        <w:t>Required Data Transformations</w:t>
      </w:r>
    </w:p>
    <w:p>
      <w:pPr>
        <w:pStyle w:val="Heading4"/>
        <w:numPr>
          <w:ilvl w:val="1"/>
          <w:numId w:val="1"/>
        </w:numPr>
        <w:tabs>
          <w:tab w:val="clear" w:pos="720"/>
          <w:tab w:val="left" w:pos="1800" w:leader="none"/>
        </w:tabs>
        <w:ind w:firstLine="360" w:start="720" w:end="0"/>
        <w:rPr/>
      </w:pPr>
      <w:r>
        <w:rPr/>
        <w:t>Requisite Software:</w:t>
      </w:r>
    </w:p>
    <w:p>
      <w:pPr>
        <w:pStyle w:val="Normal"/>
        <w:ind w:firstLine="720" w:end="0"/>
        <w:jc w:val="both"/>
        <w:rPr/>
      </w:pPr>
      <w:r>
        <w:rPr/>
        <w:t>Identify the discrete software systems required for fulfillment of the Functional Specifications listed above.  Describe their primary purpose.</w:t>
      </w:r>
    </w:p>
    <w:p>
      <w:pPr>
        <w:pStyle w:val="Normal"/>
        <w:rPr/>
      </w:pPr>
      <w:r>
        <w:rPr/>
      </w:r>
    </w:p>
    <w:p>
      <w:pPr>
        <w:pStyle w:val="Heading5"/>
        <w:numPr>
          <w:ilvl w:val="2"/>
          <w:numId w:val="1"/>
        </w:numPr>
        <w:ind w:hanging="0" w:start="0"/>
        <w:rPr/>
      </w:pPr>
      <w:r>
        <w:rPr/>
        <w:t>Operating Systems</w:t>
      </w:r>
    </w:p>
    <w:p>
      <w:pPr>
        <w:pStyle w:val="Normal"/>
        <w:ind w:firstLine="720" w:end="0"/>
        <w:rPr/>
      </w:pPr>
      <w:r>
        <w:rPr/>
        <w:t>AIX, Solaris, Windows 2000,  Windows NT</w:t>
      </w:r>
    </w:p>
    <w:p>
      <w:pPr>
        <w:pStyle w:val="Normal"/>
        <w:rPr/>
      </w:pPr>
      <w:r>
        <w:rPr/>
      </w:r>
    </w:p>
    <w:p>
      <w:pPr>
        <w:pStyle w:val="Heading5"/>
        <w:numPr>
          <w:ilvl w:val="2"/>
          <w:numId w:val="1"/>
        </w:numPr>
        <w:ind w:hanging="0" w:start="0"/>
        <w:rPr/>
      </w:pPr>
      <w:r>
        <w:rPr/>
        <w:t>Commercial Off-the-shelf (COTS) Software</w:t>
      </w:r>
    </w:p>
    <w:p>
      <w:pPr>
        <w:pStyle w:val="Normal"/>
        <w:ind w:firstLine="720" w:end="0"/>
        <w:rPr/>
      </w:pPr>
      <w:r>
        <w:rPr/>
        <w:t>Oracle, Gentran, RMS, Hummingbird, Microsoft Access</w:t>
      </w:r>
    </w:p>
    <w:p>
      <w:pPr>
        <w:pStyle w:val="Normal"/>
        <w:rPr/>
      </w:pPr>
      <w:r>
        <w:rPr/>
      </w:r>
    </w:p>
    <w:p>
      <w:pPr>
        <w:pStyle w:val="Heading5"/>
        <w:numPr>
          <w:ilvl w:val="2"/>
          <w:numId w:val="1"/>
        </w:numPr>
        <w:ind w:hanging="0" w:start="0"/>
        <w:rPr/>
      </w:pPr>
      <w:r>
        <w:rPr/>
        <w:t>Custom Developed Components</w:t>
      </w:r>
    </w:p>
    <w:p>
      <w:pPr>
        <w:pStyle w:val="Normal"/>
        <w:ind w:firstLine="720" w:end="0"/>
        <w:rPr/>
      </w:pPr>
      <w:r>
        <w:rPr/>
        <w:t>EDI Comm, EDI Ops</w:t>
      </w:r>
    </w:p>
    <w:p>
      <w:pPr>
        <w:pStyle w:val="Normal"/>
        <w:rPr/>
      </w:pPr>
      <w:r>
        <w:rPr/>
      </w:r>
    </w:p>
    <w:p>
      <w:pPr>
        <w:pStyle w:val="Heading4"/>
        <w:numPr>
          <w:ilvl w:val="1"/>
          <w:numId w:val="1"/>
        </w:numPr>
        <w:tabs>
          <w:tab w:val="clear" w:pos="720"/>
          <w:tab w:val="left" w:pos="1800" w:leader="none"/>
        </w:tabs>
        <w:ind w:firstLine="360" w:start="720" w:end="0"/>
        <w:rPr/>
      </w:pPr>
      <w:r>
        <w:rPr/>
        <w:t>Functional Components:</w:t>
      </w:r>
    </w:p>
    <w:p>
      <w:pPr>
        <w:pStyle w:val="Heading5"/>
        <w:numPr>
          <w:ilvl w:val="2"/>
          <w:numId w:val="1"/>
        </w:numPr>
        <w:ind w:hanging="0" w:start="0"/>
        <w:rPr/>
      </w:pPr>
      <w:r>
        <w:rPr/>
        <w:t>Description of Features</w:t>
      </w:r>
    </w:p>
    <w:p>
      <w:pPr>
        <w:pStyle w:val="Heading5"/>
        <w:numPr>
          <w:ilvl w:val="2"/>
          <w:numId w:val="1"/>
        </w:numPr>
        <w:ind w:hanging="0" w:start="0"/>
        <w:rPr/>
      </w:pPr>
      <w:r>
        <w:rPr/>
        <w:t>Input-Process-Output Diagram</w:t>
      </w:r>
    </w:p>
    <w:p>
      <w:pPr>
        <w:pStyle w:val="Normal"/>
        <w:ind w:firstLine="720" w:end="0"/>
        <w:jc w:val="both"/>
        <w:rPr/>
      </w:pPr>
      <w:r>
        <w:rPr/>
        <w:t>Organize software components into connecting modules.  Show inputs and outputs for each module.  Describe how data is processed in each module.</w:t>
      </w:r>
    </w:p>
    <w:p>
      <w:pPr>
        <w:pStyle w:val="Heading5"/>
        <w:numPr>
          <w:ilvl w:val="3"/>
          <w:numId w:val="1"/>
        </w:numPr>
        <w:spacing w:before="240" w:after="240"/>
        <w:ind w:hanging="0" w:start="0"/>
        <w:rPr/>
      </w:pPr>
      <w:r>
        <w:rPr/>
        <w:t>Inputs</w:t>
      </w:r>
    </w:p>
    <w:p>
      <w:pPr>
        <w:pStyle w:val="Normal"/>
        <w:ind w:firstLine="720" w:end="0"/>
        <w:rPr/>
      </w:pPr>
      <w:r>
        <w:rPr/>
        <w:t>Specify input data, files and parameters including their source and event triggers.</w:t>
      </w:r>
    </w:p>
    <w:p>
      <w:pPr>
        <w:pStyle w:val="Normal"/>
        <w:rPr/>
      </w:pPr>
      <w:r>
        <w:rPr/>
      </w:r>
    </w:p>
    <w:p>
      <w:pPr>
        <w:pStyle w:val="Heading5"/>
        <w:numPr>
          <w:ilvl w:val="3"/>
          <w:numId w:val="1"/>
        </w:numPr>
        <w:ind w:hanging="0" w:start="0"/>
        <w:rPr/>
      </w:pPr>
      <w:r>
        <w:rPr/>
        <w:t>Process Description</w:t>
      </w:r>
    </w:p>
    <w:p>
      <w:pPr>
        <w:pStyle w:val="Normal"/>
        <w:ind w:firstLine="720" w:end="0"/>
        <w:rPr/>
      </w:pPr>
      <w:r>
        <w:rPr/>
        <w:t>Specify data processing routines performed to all inputs to create outputs</w:t>
      </w:r>
    </w:p>
    <w:p>
      <w:pPr>
        <w:pStyle w:val="Normal"/>
        <w:rPr/>
      </w:pPr>
      <w:r>
        <w:rPr/>
      </w:r>
    </w:p>
    <w:p>
      <w:pPr>
        <w:pStyle w:val="Heading5"/>
        <w:numPr>
          <w:ilvl w:val="3"/>
          <w:numId w:val="1"/>
        </w:numPr>
        <w:ind w:hanging="0" w:start="0"/>
        <w:rPr/>
      </w:pPr>
      <w:r>
        <w:rPr/>
        <w:t>Outputs</w:t>
      </w:r>
    </w:p>
    <w:p>
      <w:pPr>
        <w:pStyle w:val="Normal"/>
        <w:ind w:firstLine="720" w:end="0"/>
        <w:rPr/>
      </w:pPr>
      <w:r>
        <w:rPr/>
        <w:t>Specify output data, files and parameters, including their destination.</w:t>
      </w:r>
    </w:p>
    <w:p>
      <w:pPr>
        <w:pStyle w:val="Normal"/>
        <w:rPr/>
      </w:pPr>
      <w:r>
        <w:rPr/>
      </w:r>
    </w:p>
    <w:p>
      <w:pPr>
        <w:pStyle w:val="Heading5"/>
        <w:numPr>
          <w:ilvl w:val="2"/>
          <w:numId w:val="1"/>
        </w:numPr>
        <w:ind w:hanging="0" w:start="0"/>
        <w:rPr/>
      </w:pPr>
      <w:r>
        <w:rPr/>
        <w:t>Entity-Relationship Diagrams</w:t>
      </w:r>
    </w:p>
    <w:p>
      <w:pPr>
        <w:pStyle w:val="Normal"/>
        <w:ind w:firstLine="720" w:end="0"/>
        <w:jc w:val="both"/>
        <w:rPr/>
      </w:pPr>
      <w:r>
        <w:rPr/>
        <w:t>Diagram the relationships between database tables.  Indicate primary and foreign keys.  Annotate where referential integrity is enforced and indicate the method used.</w:t>
      </w:r>
    </w:p>
    <w:p>
      <w:pPr>
        <w:pStyle w:val="Normal"/>
        <w:rPr/>
      </w:pPr>
      <w:r>
        <w:rPr/>
      </w:r>
    </w:p>
    <w:p>
      <w:pPr>
        <w:pStyle w:val="Heading5"/>
        <w:numPr>
          <w:ilvl w:val="2"/>
          <w:numId w:val="1"/>
        </w:numPr>
        <w:ind w:hanging="0" w:start="0"/>
        <w:rPr/>
      </w:pPr>
      <w:r>
        <w:rPr/>
        <w:t>Data Dictionary</w:t>
      </w:r>
    </w:p>
    <w:p>
      <w:pPr>
        <w:pStyle w:val="Normal"/>
        <w:ind w:start="720" w:end="0"/>
        <w:rPr/>
      </w:pPr>
      <w:r>
        <w:rPr/>
        <w:t>For each data element the data dictionary will contain:</w:t>
      </w:r>
    </w:p>
    <w:p>
      <w:pPr>
        <w:pStyle w:val="Normal"/>
        <w:ind w:start="1440" w:end="0"/>
        <w:rPr/>
      </w:pPr>
      <w:r>
        <w:rPr/>
        <w:t>Element name</w:t>
      </w:r>
    </w:p>
    <w:p>
      <w:pPr>
        <w:pStyle w:val="Normal"/>
        <w:ind w:start="1440" w:end="0"/>
        <w:rPr/>
      </w:pPr>
      <w:r>
        <w:rPr/>
        <w:t>Purpose</w:t>
      </w:r>
    </w:p>
    <w:p>
      <w:pPr>
        <w:pStyle w:val="Normal"/>
        <w:ind w:start="1440" w:end="0"/>
        <w:rPr/>
      </w:pPr>
      <w:r>
        <w:rPr/>
        <w:t>Data Type</w:t>
      </w:r>
    </w:p>
    <w:p>
      <w:pPr>
        <w:pStyle w:val="Normal"/>
        <w:ind w:start="1440" w:end="0"/>
        <w:rPr/>
      </w:pPr>
      <w:r>
        <w:rPr/>
        <w:t>Size</w:t>
      </w:r>
    </w:p>
    <w:p>
      <w:pPr>
        <w:pStyle w:val="Normal"/>
        <w:ind w:start="1440" w:end="0"/>
        <w:rPr/>
      </w:pPr>
      <w:r>
        <w:rPr/>
        <w:t>Range of values</w:t>
      </w:r>
    </w:p>
    <w:p>
      <w:pPr>
        <w:pStyle w:val="Normal"/>
        <w:ind w:start="1440" w:end="0"/>
        <w:rPr/>
      </w:pPr>
      <w:r>
        <w:rPr/>
        <w:t>Default value</w:t>
      </w:r>
    </w:p>
    <w:p>
      <w:pPr>
        <w:pStyle w:val="Normal"/>
        <w:ind w:start="1440" w:end="0"/>
        <w:rPr/>
      </w:pPr>
      <w:r>
        <w:rPr/>
        <w:t>Constraints</w:t>
      </w:r>
    </w:p>
    <w:p>
      <w:pPr>
        <w:pStyle w:val="Normal"/>
        <w:rPr/>
      </w:pPr>
      <w:r>
        <w:rPr/>
      </w:r>
    </w:p>
    <w:p>
      <w:pPr>
        <w:pStyle w:val="Heading5"/>
        <w:numPr>
          <w:ilvl w:val="2"/>
          <w:numId w:val="1"/>
        </w:numPr>
        <w:ind w:hanging="0" w:start="0"/>
        <w:rPr/>
      </w:pPr>
      <w:r>
        <w:rPr/>
        <w:t>Error Handling and Notification</w:t>
      </w:r>
    </w:p>
    <w:p>
      <w:pPr>
        <w:pStyle w:val="Normal"/>
        <w:ind w:firstLine="720" w:end="0"/>
        <w:jc w:val="both"/>
        <w:rPr/>
      </w:pPr>
      <w:r>
        <w:rPr/>
        <w:t>Specify the error handling methods used in major software components.   Specify the intended recipients and the delivery mechanism used to transmit message.</w:t>
      </w:r>
    </w:p>
    <w:p>
      <w:pPr>
        <w:pStyle w:val="Normal"/>
        <w:rPr/>
      </w:pPr>
      <w:r>
        <w:rPr/>
      </w:r>
    </w:p>
    <w:p>
      <w:pPr>
        <w:pStyle w:val="Heading4"/>
        <w:numPr>
          <w:ilvl w:val="1"/>
          <w:numId w:val="1"/>
        </w:numPr>
        <w:tabs>
          <w:tab w:val="clear" w:pos="720"/>
          <w:tab w:val="left" w:pos="1800" w:leader="none"/>
        </w:tabs>
        <w:ind w:firstLine="360" w:start="720" w:end="0"/>
        <w:rPr/>
      </w:pPr>
      <w:r>
        <w:rPr/>
        <w:t>External Interfaces, comprising information regarding the following:</w:t>
      </w:r>
    </w:p>
    <w:p>
      <w:pPr>
        <w:pStyle w:val="Heading5"/>
        <w:numPr>
          <w:ilvl w:val="2"/>
          <w:numId w:val="1"/>
        </w:numPr>
        <w:ind w:hanging="0" w:start="0"/>
        <w:rPr/>
      </w:pPr>
      <w:r>
        <w:rPr/>
        <w:t>Communications</w:t>
      </w:r>
    </w:p>
    <w:p>
      <w:pPr>
        <w:pStyle w:val="BodyLettersHang"/>
        <w:numPr>
          <w:ilvl w:val="0"/>
          <w:numId w:val="13"/>
        </w:numPr>
        <w:tabs>
          <w:tab w:val="clear" w:pos="720"/>
          <w:tab w:val="left" w:pos="1440" w:leader="none"/>
        </w:tabs>
        <w:ind w:hanging="720" w:start="2880" w:end="0"/>
        <w:rPr>
          <w:sz w:val="22"/>
        </w:rPr>
      </w:pPr>
      <w:r>
        <w:rPr>
          <w:sz w:val="22"/>
        </w:rPr>
        <w:t>Hardware</w:t>
      </w:r>
    </w:p>
    <w:p>
      <w:pPr>
        <w:pStyle w:val="BodyLettersHang"/>
        <w:numPr>
          <w:ilvl w:val="0"/>
          <w:numId w:val="13"/>
        </w:numPr>
        <w:tabs>
          <w:tab w:val="clear" w:pos="720"/>
          <w:tab w:val="left" w:pos="1440" w:leader="none"/>
        </w:tabs>
        <w:ind w:hanging="720" w:start="2880" w:end="0"/>
        <w:rPr>
          <w:sz w:val="22"/>
        </w:rPr>
      </w:pPr>
      <w:r>
        <w:rPr>
          <w:sz w:val="22"/>
        </w:rPr>
        <w:t>Software</w:t>
      </w:r>
    </w:p>
    <w:p>
      <w:pPr>
        <w:pStyle w:val="BodyLettersHang"/>
        <w:numPr>
          <w:ilvl w:val="0"/>
          <w:numId w:val="13"/>
        </w:numPr>
        <w:tabs>
          <w:tab w:val="clear" w:pos="720"/>
          <w:tab w:val="left" w:pos="1440" w:leader="none"/>
        </w:tabs>
        <w:ind w:hanging="720" w:start="2880" w:end="0"/>
        <w:rPr>
          <w:sz w:val="22"/>
        </w:rPr>
      </w:pPr>
      <w:r>
        <w:rPr>
          <w:sz w:val="22"/>
        </w:rPr>
        <w:t>Service Providers</w:t>
      </w:r>
    </w:p>
    <w:p>
      <w:pPr>
        <w:pStyle w:val="Heading5"/>
        <w:numPr>
          <w:ilvl w:val="2"/>
          <w:numId w:val="1"/>
        </w:numPr>
        <w:ind w:hanging="0" w:start="0"/>
        <w:rPr/>
      </w:pPr>
      <w:r>
        <w:rPr/>
        <w:t>Software Integration</w:t>
      </w:r>
    </w:p>
    <w:p>
      <w:pPr>
        <w:pStyle w:val="Normal"/>
        <w:ind w:firstLine="720" w:end="0"/>
        <w:jc w:val="both"/>
        <w:rPr/>
      </w:pPr>
      <w:r>
        <w:rPr/>
        <w:t>Describe how each major component of the Enron EDI Hub interfaces with external applications including the following:  SAP, ENA, ETS, TMS, Stat, Unify, Treasury, PGE, EES, EES Dublin, Azurix, Gas Pipe Lines, TAXES, Clinton, HR, FDC, Brazil, Encore, GPG, HPL, Northern Border.</w:t>
      </w:r>
    </w:p>
    <w:p>
      <w:pPr>
        <w:pStyle w:val="Normal"/>
        <w:rPr/>
      </w:pPr>
      <w:r>
        <w:rPr/>
      </w:r>
    </w:p>
    <w:p>
      <w:pPr>
        <w:pStyle w:val="Heading5"/>
        <w:numPr>
          <w:ilvl w:val="2"/>
          <w:numId w:val="1"/>
        </w:numPr>
        <w:ind w:hanging="0" w:start="0"/>
        <w:rPr/>
      </w:pPr>
      <w:r>
        <w:rPr/>
        <w:t>User Interfaces</w:t>
      </w:r>
    </w:p>
    <w:p>
      <w:pPr>
        <w:pStyle w:val="Heading4"/>
        <w:numPr>
          <w:ilvl w:val="1"/>
          <w:numId w:val="1"/>
        </w:numPr>
        <w:tabs>
          <w:tab w:val="clear" w:pos="720"/>
          <w:tab w:val="left" w:pos="1800" w:leader="none"/>
        </w:tabs>
        <w:ind w:firstLine="360" w:start="720" w:end="0"/>
        <w:rPr/>
      </w:pPr>
      <w:r>
        <w:rPr/>
        <w:t>Security Systems, comprising information regarding the following:</w:t>
      </w:r>
    </w:p>
    <w:p>
      <w:pPr>
        <w:pStyle w:val="Heading5"/>
        <w:numPr>
          <w:ilvl w:val="2"/>
          <w:numId w:val="1"/>
        </w:numPr>
        <w:ind w:hanging="0" w:start="0"/>
        <w:rPr/>
      </w:pPr>
      <w:r>
        <w:rPr/>
        <w:t>Network Isolation and Firewalls</w:t>
      </w:r>
    </w:p>
    <w:p>
      <w:pPr>
        <w:pStyle w:val="Heading5"/>
        <w:numPr>
          <w:ilvl w:val="2"/>
          <w:numId w:val="1"/>
        </w:numPr>
        <w:ind w:hanging="0" w:start="0"/>
        <w:rPr/>
      </w:pPr>
      <w:r>
        <w:rPr/>
        <w:t>Software Components</w:t>
      </w:r>
    </w:p>
    <w:p>
      <w:pPr>
        <w:pStyle w:val="Heading4"/>
        <w:numPr>
          <w:ilvl w:val="1"/>
          <w:numId w:val="1"/>
        </w:numPr>
        <w:tabs>
          <w:tab w:val="clear" w:pos="720"/>
          <w:tab w:val="left" w:pos="1800" w:leader="none"/>
        </w:tabs>
        <w:ind w:firstLine="360" w:start="720" w:end="0"/>
        <w:rPr/>
      </w:pPr>
      <w:r>
        <w:rPr/>
        <w:t>Naming Conventions and Definition.</w:t>
      </w:r>
    </w:p>
    <w:p>
      <w:pPr>
        <w:pStyle w:val="Heading2"/>
        <w:numPr>
          <w:ilvl w:val="1"/>
          <w:numId w:val="11"/>
        </w:numPr>
        <w:tabs>
          <w:tab w:val="clear" w:pos="720"/>
          <w:tab w:val="left" w:pos="540" w:leader="none"/>
        </w:tabs>
        <w:spacing w:before="0" w:after="240"/>
        <w:ind w:firstLine="720" w:start="0" w:end="0"/>
        <w:rPr>
          <w:sz w:val="22"/>
        </w:rPr>
      </w:pPr>
      <w:r>
        <w:rPr>
          <w:b/>
          <w:caps/>
          <w:sz w:val="22"/>
        </w:rPr>
        <w:t>Operating Procedures</w:t>
      </w:r>
      <w:r>
        <w:rPr>
          <w:sz w:val="22"/>
        </w:rPr>
        <w:t>.</w:t>
      </w:r>
    </w:p>
    <w:p>
      <w:pPr>
        <w:pStyle w:val="Heading4"/>
        <w:numPr>
          <w:ilvl w:val="1"/>
          <w:numId w:val="18"/>
        </w:numPr>
        <w:tabs>
          <w:tab w:val="clear" w:pos="720"/>
          <w:tab w:val="left" w:pos="1800" w:leader="none"/>
        </w:tabs>
        <w:ind w:firstLine="360" w:start="720" w:end="0"/>
        <w:rPr/>
      </w:pPr>
      <w:r>
        <w:rPr/>
        <w:t>Roles and Responsibilities, comprising information regarding the following:</w:t>
      </w:r>
    </w:p>
    <w:p>
      <w:pPr>
        <w:pStyle w:val="Heading5"/>
        <w:numPr>
          <w:ilvl w:val="2"/>
          <w:numId w:val="1"/>
        </w:numPr>
        <w:ind w:hanging="0" w:start="0"/>
        <w:rPr/>
      </w:pPr>
      <w:r>
        <w:rPr/>
        <w:t>System Administration</w:t>
      </w:r>
    </w:p>
    <w:p>
      <w:pPr>
        <w:pStyle w:val="Heading5"/>
        <w:numPr>
          <w:ilvl w:val="2"/>
          <w:numId w:val="1"/>
        </w:numPr>
        <w:ind w:hanging="0" w:start="0"/>
        <w:rPr/>
      </w:pPr>
      <w:r>
        <w:rPr/>
        <w:t>Database Administration</w:t>
      </w:r>
    </w:p>
    <w:p>
      <w:pPr>
        <w:pStyle w:val="Heading5"/>
        <w:numPr>
          <w:ilvl w:val="2"/>
          <w:numId w:val="1"/>
        </w:numPr>
        <w:ind w:hanging="0" w:start="0"/>
        <w:rPr/>
      </w:pPr>
      <w:r>
        <w:rPr/>
        <w:t>Application Maintenance</w:t>
      </w:r>
    </w:p>
    <w:p>
      <w:pPr>
        <w:pStyle w:val="Heading5"/>
        <w:numPr>
          <w:ilvl w:val="2"/>
          <w:numId w:val="1"/>
        </w:numPr>
        <w:ind w:hanging="0" w:start="0"/>
        <w:rPr/>
      </w:pPr>
      <w:r>
        <w:rPr/>
        <w:t>Customer Support</w:t>
      </w:r>
    </w:p>
    <w:p>
      <w:pPr>
        <w:pStyle w:val="Heading4"/>
        <w:numPr>
          <w:ilvl w:val="1"/>
          <w:numId w:val="1"/>
        </w:numPr>
        <w:tabs>
          <w:tab w:val="clear" w:pos="720"/>
          <w:tab w:val="left" w:pos="1800" w:leader="none"/>
        </w:tabs>
        <w:ind w:firstLine="360" w:start="720" w:end="0"/>
        <w:rPr/>
      </w:pPr>
      <w:r>
        <w:rPr/>
        <w:t>Staging Platforms, comprising information regarding the following:</w:t>
      </w:r>
    </w:p>
    <w:p>
      <w:pPr>
        <w:pStyle w:val="Heading5"/>
        <w:numPr>
          <w:ilvl w:val="2"/>
          <w:numId w:val="1"/>
        </w:numPr>
        <w:ind w:hanging="0" w:start="0"/>
        <w:rPr/>
      </w:pPr>
      <w:r>
        <w:rPr/>
        <w:t>Development and Testing</w:t>
      </w:r>
    </w:p>
    <w:p>
      <w:pPr>
        <w:pStyle w:val="Heading5"/>
        <w:numPr>
          <w:ilvl w:val="2"/>
          <w:numId w:val="1"/>
        </w:numPr>
        <w:ind w:hanging="0" w:start="0"/>
        <w:rPr/>
      </w:pPr>
      <w:r>
        <w:rPr/>
        <w:t>Quality Assurance</w:t>
      </w:r>
    </w:p>
    <w:p>
      <w:pPr>
        <w:pStyle w:val="Heading5"/>
        <w:numPr>
          <w:ilvl w:val="2"/>
          <w:numId w:val="1"/>
        </w:numPr>
        <w:ind w:hanging="0" w:start="0"/>
        <w:rPr/>
      </w:pPr>
      <w:r>
        <w:rPr/>
        <w:t>Production</w:t>
      </w:r>
    </w:p>
    <w:p>
      <w:pPr>
        <w:pStyle w:val="Heading5"/>
        <w:numPr>
          <w:ilvl w:val="2"/>
          <w:numId w:val="1"/>
        </w:numPr>
        <w:ind w:hanging="0" w:start="0"/>
        <w:rPr/>
      </w:pPr>
      <w:r>
        <w:rPr/>
        <w:t>Transition Procedures</w:t>
      </w:r>
    </w:p>
    <w:p>
      <w:pPr>
        <w:pStyle w:val="Heading4"/>
        <w:numPr>
          <w:ilvl w:val="1"/>
          <w:numId w:val="1"/>
        </w:numPr>
        <w:tabs>
          <w:tab w:val="clear" w:pos="720"/>
          <w:tab w:val="left" w:pos="1800" w:leader="none"/>
        </w:tabs>
        <w:ind w:firstLine="360" w:start="720" w:end="0"/>
        <w:rPr/>
      </w:pPr>
      <w:r>
        <w:rPr/>
        <w:t>Routine Tasks, Desk Operating Procedures and Checklists.</w:t>
      </w:r>
    </w:p>
    <w:p>
      <w:pPr>
        <w:pStyle w:val="Heading4"/>
        <w:numPr>
          <w:ilvl w:val="1"/>
          <w:numId w:val="1"/>
        </w:numPr>
        <w:tabs>
          <w:tab w:val="clear" w:pos="720"/>
          <w:tab w:val="left" w:pos="1800" w:leader="none"/>
        </w:tabs>
        <w:ind w:firstLine="360" w:start="720" w:end="0"/>
        <w:rPr/>
      </w:pPr>
      <w:r>
        <w:rPr/>
        <w:t>Technical Support Procedures.</w:t>
      </w:r>
    </w:p>
    <w:p>
      <w:pPr>
        <w:pStyle w:val="Heading4"/>
        <w:numPr>
          <w:ilvl w:val="1"/>
          <w:numId w:val="1"/>
        </w:numPr>
        <w:tabs>
          <w:tab w:val="clear" w:pos="720"/>
          <w:tab w:val="left" w:pos="1800" w:leader="none"/>
        </w:tabs>
        <w:ind w:firstLine="360" w:start="720" w:end="0"/>
        <w:rPr/>
      </w:pPr>
      <w:r>
        <w:rPr/>
        <w:t>Troubleshooting Procedures, comprising information regarding the following:</w:t>
      </w:r>
    </w:p>
    <w:p>
      <w:pPr>
        <w:pStyle w:val="Heading5"/>
        <w:numPr>
          <w:ilvl w:val="2"/>
          <w:numId w:val="1"/>
        </w:numPr>
        <w:ind w:hanging="0" w:start="0"/>
        <w:rPr/>
      </w:pPr>
      <w:r>
        <w:rPr/>
        <w:t>Diagnostic Tree</w:t>
      </w:r>
    </w:p>
    <w:p>
      <w:pPr>
        <w:pStyle w:val="Heading5"/>
        <w:numPr>
          <w:ilvl w:val="2"/>
          <w:numId w:val="1"/>
        </w:numPr>
        <w:ind w:hanging="0" w:start="0"/>
        <w:rPr/>
      </w:pPr>
      <w:r>
        <w:rPr/>
        <w:t>Error Messages</w:t>
      </w:r>
    </w:p>
    <w:p>
      <w:pPr>
        <w:pStyle w:val="BodyLettersInd"/>
        <w:numPr>
          <w:ilvl w:val="0"/>
          <w:numId w:val="12"/>
        </w:numPr>
        <w:rPr>
          <w:sz w:val="22"/>
        </w:rPr>
      </w:pPr>
      <w:r>
        <w:rPr>
          <w:sz w:val="22"/>
        </w:rPr>
        <w:t>Possible Causes</w:t>
      </w:r>
    </w:p>
    <w:p>
      <w:pPr>
        <w:pStyle w:val="BodyLettersInd"/>
        <w:numPr>
          <w:ilvl w:val="0"/>
          <w:numId w:val="12"/>
        </w:numPr>
        <w:ind w:hanging="720" w:start="2520" w:end="0"/>
        <w:rPr>
          <w:sz w:val="22"/>
        </w:rPr>
      </w:pPr>
      <w:r>
        <w:rPr>
          <w:sz w:val="22"/>
        </w:rPr>
        <w:t>Suggested Resolution</w:t>
      </w:r>
    </w:p>
    <w:p>
      <w:pPr>
        <w:pStyle w:val="Heading4"/>
        <w:numPr>
          <w:ilvl w:val="1"/>
          <w:numId w:val="1"/>
        </w:numPr>
        <w:tabs>
          <w:tab w:val="clear" w:pos="720"/>
          <w:tab w:val="left" w:pos="1800" w:leader="none"/>
        </w:tabs>
        <w:ind w:firstLine="360" w:start="720" w:end="0"/>
        <w:rPr/>
      </w:pPr>
      <w:r>
        <w:rPr/>
        <w:t>Frequently Encountered Problems.</w:t>
      </w:r>
    </w:p>
    <w:p>
      <w:pPr>
        <w:pStyle w:val="Heading4"/>
        <w:numPr>
          <w:ilvl w:val="1"/>
          <w:numId w:val="1"/>
        </w:numPr>
        <w:tabs>
          <w:tab w:val="clear" w:pos="720"/>
          <w:tab w:val="left" w:pos="1800" w:leader="none"/>
        </w:tabs>
        <w:ind w:firstLine="360" w:start="720" w:end="0"/>
        <w:rPr/>
      </w:pPr>
      <w:r>
        <w:rPr/>
        <w:t>Issue Tracking and Reporting.</w:t>
      </w:r>
    </w:p>
    <w:p>
      <w:pPr>
        <w:pStyle w:val="Heading4"/>
        <w:numPr>
          <w:ilvl w:val="1"/>
          <w:numId w:val="1"/>
        </w:numPr>
        <w:tabs>
          <w:tab w:val="clear" w:pos="720"/>
          <w:tab w:val="left" w:pos="1800" w:leader="none"/>
        </w:tabs>
        <w:ind w:firstLine="360" w:start="720" w:end="0"/>
        <w:rPr/>
      </w:pPr>
      <w:r>
        <w:rPr/>
        <w:t>Escalation Procedures.</w:t>
      </w:r>
    </w:p>
    <w:p>
      <w:pPr>
        <w:pStyle w:val="Heading4"/>
        <w:numPr>
          <w:ilvl w:val="1"/>
          <w:numId w:val="1"/>
        </w:numPr>
        <w:tabs>
          <w:tab w:val="clear" w:pos="720"/>
          <w:tab w:val="left" w:pos="1800" w:leader="none"/>
        </w:tabs>
        <w:ind w:firstLine="360" w:start="720" w:end="0"/>
        <w:rPr/>
      </w:pPr>
      <w:r>
        <w:rPr/>
        <w:t>Security Configuration.</w:t>
      </w:r>
    </w:p>
    <w:p>
      <w:pPr>
        <w:pStyle w:val="Heading4"/>
        <w:numPr>
          <w:ilvl w:val="1"/>
          <w:numId w:val="1"/>
        </w:numPr>
        <w:tabs>
          <w:tab w:val="clear" w:pos="720"/>
          <w:tab w:val="left" w:pos="1800" w:leader="none"/>
        </w:tabs>
        <w:ind w:firstLine="360" w:start="720" w:end="0"/>
        <w:rPr/>
      </w:pPr>
      <w:r>
        <w:rPr/>
        <w:t>Backup and Recovery.</w:t>
      </w:r>
    </w:p>
    <w:p>
      <w:pPr>
        <w:pStyle w:val="Heading4"/>
        <w:numPr>
          <w:ilvl w:val="1"/>
          <w:numId w:val="1"/>
        </w:numPr>
        <w:tabs>
          <w:tab w:val="clear" w:pos="720"/>
          <w:tab w:val="left" w:pos="1800" w:leader="none"/>
        </w:tabs>
        <w:ind w:firstLine="360" w:start="720" w:end="0"/>
        <w:rPr/>
      </w:pPr>
      <w:r>
        <w:rPr/>
        <w:t>Disaster Recovery, comprising information regarding the following.</w:t>
      </w:r>
    </w:p>
    <w:p>
      <w:pPr>
        <w:pStyle w:val="Heading5"/>
        <w:numPr>
          <w:ilvl w:val="2"/>
          <w:numId w:val="1"/>
        </w:numPr>
        <w:ind w:hanging="0" w:start="0"/>
        <w:rPr/>
      </w:pPr>
      <w:r>
        <w:rPr/>
        <w:t>Facilities</w:t>
      </w:r>
    </w:p>
    <w:p>
      <w:pPr>
        <w:pStyle w:val="Heading5"/>
        <w:numPr>
          <w:ilvl w:val="2"/>
          <w:numId w:val="1"/>
        </w:numPr>
        <w:ind w:hanging="0" w:start="0"/>
        <w:rPr/>
      </w:pPr>
      <w:r>
        <w:rPr/>
        <w:t>Procedures</w:t>
      </w:r>
    </w:p>
    <w:p>
      <w:pPr>
        <w:pStyle w:val="Heading2"/>
        <w:numPr>
          <w:ilvl w:val="1"/>
          <w:numId w:val="11"/>
        </w:numPr>
        <w:tabs>
          <w:tab w:val="clear" w:pos="720"/>
          <w:tab w:val="left" w:pos="540" w:leader="none"/>
        </w:tabs>
        <w:spacing w:before="0" w:after="240"/>
        <w:ind w:firstLine="720" w:start="0" w:end="0"/>
        <w:rPr>
          <w:sz w:val="22"/>
        </w:rPr>
      </w:pPr>
      <w:r>
        <w:rPr>
          <w:b/>
          <w:caps/>
          <w:sz w:val="22"/>
        </w:rPr>
        <w:t>Customer Manual</w:t>
      </w:r>
      <w:r>
        <w:rPr>
          <w:sz w:val="22"/>
        </w:rPr>
        <w:t>.</w:t>
      </w:r>
    </w:p>
    <w:p>
      <w:pPr>
        <w:pStyle w:val="Heading4"/>
        <w:numPr>
          <w:ilvl w:val="1"/>
          <w:numId w:val="19"/>
        </w:numPr>
        <w:tabs>
          <w:tab w:val="clear" w:pos="720"/>
          <w:tab w:val="left" w:pos="1800" w:leader="none"/>
        </w:tabs>
        <w:ind w:firstLine="360" w:start="720" w:end="0"/>
        <w:rPr/>
      </w:pPr>
      <w:r>
        <w:rPr/>
        <w:t>Acceptable File Formats:</w:t>
      </w:r>
    </w:p>
    <w:p>
      <w:pPr>
        <w:pStyle w:val="Heading4"/>
        <w:numPr>
          <w:ilvl w:val="1"/>
          <w:numId w:val="1"/>
        </w:numPr>
        <w:tabs>
          <w:tab w:val="clear" w:pos="720"/>
          <w:tab w:val="left" w:pos="1800" w:leader="none"/>
        </w:tabs>
        <w:ind w:firstLine="360" w:start="720" w:end="0"/>
        <w:rPr/>
      </w:pPr>
      <w:r>
        <w:rPr/>
        <w:t>Required Communications Subsystems.</w:t>
      </w:r>
    </w:p>
    <w:p>
      <w:pPr>
        <w:pStyle w:val="Heading4"/>
        <w:numPr>
          <w:ilvl w:val="1"/>
          <w:numId w:val="1"/>
        </w:numPr>
        <w:tabs>
          <w:tab w:val="clear" w:pos="720"/>
          <w:tab w:val="left" w:pos="1800" w:leader="none"/>
        </w:tabs>
        <w:ind w:firstLine="360" w:start="720" w:end="0"/>
        <w:rPr/>
      </w:pPr>
      <w:r>
        <w:rPr/>
        <w:t>Prerequisite Software.</w:t>
      </w:r>
    </w:p>
    <w:p>
      <w:pPr>
        <w:pStyle w:val="Heading4"/>
        <w:numPr>
          <w:ilvl w:val="1"/>
          <w:numId w:val="1"/>
        </w:numPr>
        <w:tabs>
          <w:tab w:val="clear" w:pos="720"/>
          <w:tab w:val="left" w:pos="1800" w:leader="none"/>
        </w:tabs>
        <w:ind w:firstLine="360" w:start="720" w:end="0"/>
        <w:rPr/>
      </w:pPr>
      <w:r>
        <w:rPr/>
        <w:t>Operating Procedures, comprising information regarding the following:</w:t>
      </w:r>
    </w:p>
    <w:p>
      <w:pPr>
        <w:pStyle w:val="Heading5"/>
        <w:numPr>
          <w:ilvl w:val="2"/>
          <w:numId w:val="1"/>
        </w:numPr>
        <w:ind w:hanging="0" w:start="0"/>
        <w:rPr/>
      </w:pPr>
      <w:r>
        <w:rPr/>
        <w:t>Trading Partner Setup</w:t>
      </w:r>
    </w:p>
    <w:p>
      <w:pPr>
        <w:pStyle w:val="Heading5"/>
        <w:numPr>
          <w:ilvl w:val="2"/>
          <w:numId w:val="1"/>
        </w:numPr>
        <w:ind w:hanging="0" w:start="0"/>
        <w:rPr/>
      </w:pPr>
      <w:r>
        <w:rPr/>
        <w:t>Trading Partner Maintenance</w:t>
      </w:r>
    </w:p>
    <w:p>
      <w:pPr>
        <w:pStyle w:val="Heading5"/>
        <w:numPr>
          <w:ilvl w:val="2"/>
          <w:numId w:val="1"/>
        </w:numPr>
        <w:ind w:hanging="0" w:start="0"/>
        <w:rPr/>
      </w:pPr>
      <w:r>
        <w:rPr/>
        <w:t>Routine Tasks</w:t>
      </w:r>
    </w:p>
    <w:p>
      <w:pPr>
        <w:pStyle w:val="Heading4"/>
        <w:numPr>
          <w:ilvl w:val="1"/>
          <w:numId w:val="1"/>
        </w:numPr>
        <w:tabs>
          <w:tab w:val="clear" w:pos="720"/>
          <w:tab w:val="left" w:pos="1800" w:leader="none"/>
        </w:tabs>
        <w:ind w:firstLine="360" w:start="720" w:end="0"/>
        <w:rPr/>
      </w:pPr>
      <w:r>
        <w:rPr/>
        <w:t>Troubleshooting Procedures, comprising information regarding the following:</w:t>
      </w:r>
    </w:p>
    <w:p>
      <w:pPr>
        <w:pStyle w:val="Heading5"/>
        <w:numPr>
          <w:ilvl w:val="2"/>
          <w:numId w:val="1"/>
        </w:numPr>
        <w:ind w:hanging="0" w:start="0"/>
        <w:rPr/>
      </w:pPr>
      <w:r>
        <w:rPr/>
        <w:t>Diagnostic Tree</w:t>
      </w:r>
    </w:p>
    <w:p>
      <w:pPr>
        <w:pStyle w:val="Heading5"/>
        <w:numPr>
          <w:ilvl w:val="2"/>
          <w:numId w:val="1"/>
        </w:numPr>
        <w:ind w:hanging="0" w:start="0"/>
        <w:rPr/>
      </w:pPr>
      <w:r>
        <w:rPr/>
        <w:t>Error Messages</w:t>
      </w:r>
    </w:p>
    <w:p>
      <w:pPr>
        <w:pStyle w:val="BodyLettersInd"/>
        <w:numPr>
          <w:ilvl w:val="0"/>
          <w:numId w:val="20"/>
        </w:numPr>
        <w:tabs>
          <w:tab w:val="left" w:pos="2520" w:leader="none"/>
          <w:tab w:val="left" w:pos="2880" w:leader="none"/>
        </w:tabs>
        <w:ind w:hanging="720" w:start="2880" w:end="0"/>
        <w:rPr>
          <w:sz w:val="22"/>
        </w:rPr>
      </w:pPr>
      <w:r>
        <w:rPr>
          <w:sz w:val="22"/>
        </w:rPr>
        <w:t>Possible Causes</w:t>
      </w:r>
    </w:p>
    <w:p>
      <w:pPr>
        <w:pStyle w:val="BodyLettersInd"/>
        <w:numPr>
          <w:ilvl w:val="0"/>
          <w:numId w:val="12"/>
        </w:numPr>
        <w:tabs>
          <w:tab w:val="left" w:pos="2520" w:leader="none"/>
          <w:tab w:val="left" w:pos="2880" w:leader="none"/>
        </w:tabs>
        <w:ind w:hanging="720" w:start="2880" w:end="0"/>
        <w:rPr>
          <w:sz w:val="22"/>
        </w:rPr>
      </w:pPr>
      <w:r>
        <w:rPr>
          <w:sz w:val="22"/>
        </w:rPr>
        <w:t>Suggested Resolution</w:t>
      </w:r>
    </w:p>
    <w:p>
      <w:pPr>
        <w:pStyle w:val="Heading4"/>
        <w:numPr>
          <w:ilvl w:val="1"/>
          <w:numId w:val="1"/>
        </w:numPr>
        <w:tabs>
          <w:tab w:val="clear" w:pos="720"/>
          <w:tab w:val="left" w:pos="1800" w:leader="none"/>
        </w:tabs>
        <w:ind w:firstLine="360" w:start="720" w:end="0"/>
        <w:rPr/>
      </w:pPr>
      <w:r>
        <w:rPr/>
        <w:t>Available Reports.</w:t>
      </w:r>
    </w:p>
    <w:p>
      <w:pPr>
        <w:pStyle w:val="Heading4"/>
        <w:numPr>
          <w:ilvl w:val="1"/>
          <w:numId w:val="1"/>
        </w:numPr>
        <w:tabs>
          <w:tab w:val="clear" w:pos="720"/>
          <w:tab w:val="left" w:pos="1800" w:leader="none"/>
        </w:tabs>
        <w:ind w:firstLine="360" w:start="720" w:end="0"/>
        <w:rPr/>
      </w:pPr>
      <w:r>
        <w:rPr/>
        <w:t>Service Level Agreement.</w:t>
      </w:r>
    </w:p>
    <w:p>
      <w:pPr>
        <w:pStyle w:val="Heading4"/>
        <w:numPr>
          <w:ilvl w:val="1"/>
          <w:numId w:val="1"/>
        </w:numPr>
        <w:tabs>
          <w:tab w:val="clear" w:pos="720"/>
          <w:tab w:val="left" w:pos="1800" w:leader="none"/>
        </w:tabs>
        <w:ind w:firstLine="360" w:start="720" w:end="0"/>
        <w:rPr/>
      </w:pPr>
      <w:r>
        <w:rPr/>
        <w:t>Customer Support Contacts.</w:t>
      </w:r>
    </w:p>
    <w:p>
      <w:pPr>
        <w:pStyle w:val="Heading4"/>
        <w:numPr>
          <w:ilvl w:val="1"/>
          <w:numId w:val="1"/>
        </w:numPr>
        <w:tabs>
          <w:tab w:val="clear" w:pos="720"/>
          <w:tab w:val="left" w:pos="1800" w:leader="none"/>
        </w:tabs>
        <w:ind w:firstLine="360" w:start="720" w:end="0"/>
        <w:rPr/>
      </w:pPr>
      <w:r>
        <w:rPr/>
        <w:t>Escalation Procedures.</w:t>
      </w:r>
    </w:p>
    <w:p>
      <w:pPr>
        <w:pStyle w:val="Heading2"/>
        <w:numPr>
          <w:ilvl w:val="0"/>
          <w:numId w:val="0"/>
        </w:numPr>
        <w:spacing w:before="0" w:after="240"/>
        <w:ind w:hanging="0" w:start="0"/>
        <w:rPr>
          <w:sz w:val="22"/>
        </w:rPr>
      </w:pPr>
      <w:r>
        <w:rPr>
          <w:sz w:val="22"/>
        </w:rPr>
      </w:r>
    </w:p>
    <w:p>
      <w:pPr>
        <w:pStyle w:val="Heading2"/>
        <w:numPr>
          <w:ilvl w:val="0"/>
          <w:numId w:val="0"/>
        </w:numPr>
        <w:spacing w:before="0" w:after="240"/>
        <w:ind w:hanging="0" w:start="0"/>
        <w:rPr>
          <w:sz w:val="22"/>
        </w:rPr>
      </w:pPr>
      <w:r>
        <w:rPr>
          <w:sz w:val="22"/>
        </w:rPr>
      </w:r>
    </w:p>
    <w:p>
      <w:pPr>
        <w:pStyle w:val="Heading2"/>
        <w:numPr>
          <w:ilvl w:val="1"/>
          <w:numId w:val="11"/>
        </w:numPr>
        <w:tabs>
          <w:tab w:val="clear" w:pos="720"/>
          <w:tab w:val="left" w:pos="540" w:leader="none"/>
        </w:tabs>
        <w:spacing w:before="0" w:after="240"/>
        <w:ind w:firstLine="720" w:start="0" w:end="0"/>
        <w:rPr>
          <w:sz w:val="22"/>
        </w:rPr>
      </w:pPr>
      <w:r>
        <w:rPr>
          <w:b/>
          <w:caps/>
          <w:sz w:val="22"/>
        </w:rPr>
        <w:t>Critical Personnel</w:t>
      </w:r>
      <w:r>
        <w:rPr>
          <w:sz w:val="22"/>
        </w:rPr>
        <w:t>.</w:t>
      </w:r>
    </w:p>
    <w:p>
      <w:pPr>
        <w:pStyle w:val="Heading4"/>
        <w:numPr>
          <w:ilvl w:val="1"/>
          <w:numId w:val="21"/>
        </w:numPr>
        <w:tabs>
          <w:tab w:val="clear" w:pos="720"/>
          <w:tab w:val="left" w:pos="1800" w:leader="none"/>
        </w:tabs>
        <w:ind w:firstLine="360" w:start="720" w:end="0"/>
        <w:rPr/>
      </w:pPr>
      <w:r>
        <w:rPr/>
        <w:t>Identify personnel critical to:</w:t>
      </w:r>
    </w:p>
    <w:p>
      <w:pPr>
        <w:pStyle w:val="Heading4"/>
        <w:numPr>
          <w:ilvl w:val="2"/>
          <w:numId w:val="1"/>
        </w:numPr>
        <w:rPr/>
      </w:pPr>
      <w:r>
        <w:rPr/>
        <w:t>Current operations, comprising information regarding the following:</w:t>
      </w:r>
    </w:p>
    <w:p>
      <w:pPr>
        <w:pStyle w:val="Heading5"/>
        <w:numPr>
          <w:ilvl w:val="3"/>
          <w:numId w:val="1"/>
        </w:numPr>
        <w:ind w:hanging="0" w:start="0"/>
        <w:rPr/>
      </w:pPr>
      <w:r>
        <w:rPr/>
        <w:t>Routine maintenance</w:t>
      </w:r>
    </w:p>
    <w:p>
      <w:pPr>
        <w:pStyle w:val="Heading5"/>
        <w:numPr>
          <w:ilvl w:val="3"/>
          <w:numId w:val="1"/>
        </w:numPr>
        <w:ind w:hanging="0" w:start="0"/>
        <w:rPr/>
      </w:pPr>
      <w:r>
        <w:rPr/>
        <w:t>Production monitoring</w:t>
      </w:r>
    </w:p>
    <w:p>
      <w:pPr>
        <w:pStyle w:val="Heading5"/>
        <w:numPr>
          <w:ilvl w:val="3"/>
          <w:numId w:val="1"/>
        </w:numPr>
        <w:ind w:hanging="0" w:start="0"/>
        <w:rPr/>
      </w:pPr>
      <w:r>
        <w:rPr/>
        <w:t>Problem Resolution</w:t>
      </w:r>
    </w:p>
    <w:p>
      <w:pPr>
        <w:pStyle w:val="Heading5"/>
        <w:numPr>
          <w:ilvl w:val="3"/>
          <w:numId w:val="1"/>
        </w:numPr>
        <w:ind w:hanging="0" w:start="0"/>
        <w:rPr/>
      </w:pPr>
      <w:r>
        <w:rPr/>
        <w:t>Modification of document maps</w:t>
      </w:r>
    </w:p>
    <w:p>
      <w:pPr>
        <w:pStyle w:val="Heading5"/>
        <w:numPr>
          <w:ilvl w:val="3"/>
          <w:numId w:val="1"/>
        </w:numPr>
        <w:ind w:hanging="0" w:start="0"/>
        <w:rPr/>
      </w:pPr>
      <w:r>
        <w:rPr/>
        <w:t>Customer Support</w:t>
      </w:r>
    </w:p>
    <w:p>
      <w:pPr>
        <w:pStyle w:val="Heading4"/>
        <w:numPr>
          <w:ilvl w:val="1"/>
          <w:numId w:val="1"/>
        </w:numPr>
        <w:tabs>
          <w:tab w:val="clear" w:pos="720"/>
          <w:tab w:val="left" w:pos="1800" w:leader="none"/>
        </w:tabs>
        <w:ind w:firstLine="360" w:start="720" w:end="0"/>
        <w:rPr/>
      </w:pPr>
      <w:r>
        <w:rPr/>
        <w:t>Custom code maintenance.</w:t>
      </w:r>
    </w:p>
    <w:p>
      <w:pPr>
        <w:pStyle w:val="Heading4"/>
        <w:numPr>
          <w:ilvl w:val="1"/>
          <w:numId w:val="1"/>
        </w:numPr>
        <w:tabs>
          <w:tab w:val="clear" w:pos="720"/>
          <w:tab w:val="left" w:pos="1800" w:leader="none"/>
        </w:tabs>
        <w:ind w:firstLine="360" w:start="720" w:end="0"/>
        <w:rPr/>
      </w:pPr>
      <w:r>
        <w:rPr/>
        <w:t>Custom code enhancements.</w:t>
      </w:r>
    </w:p>
    <w:p>
      <w:pPr>
        <w:pStyle w:val="Heading4"/>
        <w:numPr>
          <w:ilvl w:val="1"/>
          <w:numId w:val="1"/>
        </w:numPr>
        <w:tabs>
          <w:tab w:val="clear" w:pos="720"/>
          <w:tab w:val="left" w:pos="1800" w:leader="none"/>
        </w:tabs>
        <w:ind w:firstLine="360" w:start="720" w:end="0"/>
        <w:rPr/>
      </w:pPr>
      <w:r>
        <w:rPr/>
        <w:t>Electronic funds transfer implementation.</w:t>
      </w:r>
    </w:p>
    <w:p>
      <w:pPr>
        <w:pStyle w:val="Heading2"/>
        <w:numPr>
          <w:ilvl w:val="1"/>
          <w:numId w:val="11"/>
        </w:numPr>
        <w:tabs>
          <w:tab w:val="clear" w:pos="720"/>
          <w:tab w:val="left" w:pos="540" w:leader="none"/>
        </w:tabs>
        <w:spacing w:before="0" w:after="240"/>
        <w:ind w:firstLine="720" w:start="0" w:end="0"/>
        <w:rPr>
          <w:sz w:val="22"/>
        </w:rPr>
      </w:pPr>
      <w:r>
        <w:rPr>
          <w:b/>
          <w:caps/>
          <w:sz w:val="22"/>
        </w:rPr>
        <w:t>Project Pipeline</w:t>
      </w:r>
      <w:r>
        <w:rPr>
          <w:sz w:val="22"/>
        </w:rPr>
        <w:t>.</w:t>
      </w:r>
    </w:p>
    <w:p>
      <w:pPr>
        <w:pStyle w:val="Normal"/>
        <w:ind w:firstLine="720" w:end="0"/>
        <w:jc w:val="both"/>
        <w:rPr/>
      </w:pPr>
      <w:r>
        <w:rPr/>
        <w:t>In addition to requesting changes to existing processes, Enron business units routinely request that new trading processes be implemented.  By customer or Enron business unit, list and provide functional requirements and timelines for all planned and anticipated projects.  Identify the individuals requesting the project and the project managers.</w:t>
      </w:r>
    </w:p>
    <w:p>
      <w:pPr>
        <w:pStyle w:val="BodyText"/>
        <w:spacing w:before="0" w:after="200"/>
        <w:rPr>
          <w:sz w:val="22"/>
        </w:rPr>
      </w:pPr>
      <w:r>
        <w:rPr>
          <w:sz w:val="22"/>
        </w:rPr>
      </w:r>
    </w:p>
    <w:sectPr>
      <w:headerReference w:type="default" r:id="rId8"/>
      <w:headerReference w:type="first" r:id="rId9"/>
      <w:footerReference w:type="default" r:id="rId10"/>
      <w:footerReference w:type="first" r:id="rId11"/>
      <w:type w:val="nextPage"/>
      <w:pgSz w:w="12240" w:h="15840"/>
      <w:pgMar w:left="1440" w:right="1440" w:gutter="0" w:header="720" w:top="1440" w:footer="432" w:bottom="1440"/>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 w:name="Tahoma">
    <w:charset w:val="00" w:characterSet="windows-1252"/>
    <w:family w:val="swiss"/>
    <w:pitch w:val="variable"/>
  </w:font>
  <w:font w:name="Courier New">
    <w:charset w:val="00" w:characterSet="windows-1252"/>
    <w:family w:val="modern"/>
    <w:pitch w:val="default"/>
  </w:font>
  <w:font w:name="Helvetica">
    <w:altName w:val="Arial"/>
    <w:charset w:val="00" w:characterSet="windows-1252"/>
    <w:family w:val="swiss"/>
    <w:pitch w:val="variable"/>
  </w:font>
  <w:font w:name="CG Times (W1)">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rPr>
        <w:sz w:val="16"/>
      </w:rPr>
    </w:pPr>
    <w:r>
      <w:rPr>
        <w:rStyle w:val="PageNumber"/>
        <w:sz w:val="12"/>
      </w:rPr>
      <w:t>AUSLIB1\JC0\109153</w:t>
    </w:r>
  </w:p>
  <w:p>
    <w:pPr>
      <w:pStyle w:val="Footer"/>
      <w:jc w:val="center"/>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rPr/>
    </w:pPr>
    <w:r>
      <w:rPr>
        <w:rStyle w:val="PageNumber"/>
        <w:sz w:val="12"/>
      </w:rPr>
      <w:t>AUSLIB1\JC0\109153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t xml:space="preserve">Schedule A -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sz w:val="16"/>
      </w:rPr>
    </w:pPr>
    <w:r>
      <w:rPr>
        <w:rStyle w:val="PageNumber"/>
        <w:sz w:val="12"/>
      </w:rPr>
      <w:t>AUSLIB1\JC0\109153</w:t>
    </w:r>
  </w:p>
  <w:p>
    <w:pPr>
      <w:pStyle w:val="Footer"/>
      <w:rPr>
        <w:sz w:val="16"/>
      </w:rPr>
    </w:pPr>
    <w:r>
      <w:rPr>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t xml:space="preserve">Schedule A -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rPr/>
    </w:pPr>
    <w:r>
      <w:rPr>
        <w:rStyle w:val="PageNumber"/>
        <w:sz w:val="12"/>
      </w:rPr>
      <w:t>AUSLIB1\JC0\109153</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t xml:space="preserve">Schedule B - </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rPr>
        <w:sz w:val="16"/>
      </w:rPr>
    </w:pPr>
    <w:r>
      <w:rPr>
        <w:rStyle w:val="PageNumber"/>
        <w:sz w:val="12"/>
      </w:rPr>
      <w:t>AUSLIB1\JC0\109153</w:t>
    </w:r>
  </w:p>
  <w:p>
    <w:pPr>
      <w:pStyle w:val="Footer"/>
      <w:jc w:val="center"/>
      <w:rPr>
        <w:sz w:val="16"/>
      </w:rPr>
    </w:pPr>
    <w:r>
      <w:rPr>
        <w:sz w:val="16"/>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 xml:space="preserve">Schedule A -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pPr>
    <w:r>
      <w:rPr>
        <w:rStyle w:val="PageNumber"/>
        <w:sz w:val="12"/>
      </w:rPr>
      <w:t>AUSLIB1\JC0\109153</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start"/>
      <w:pPr>
        <w:tabs>
          <w:tab w:val="num" w:pos="720"/>
        </w:tabs>
        <w:ind w:start="360" w:hanging="360"/>
      </w:pPr>
      <w:rPr>
        <w:color w:val="000000"/>
      </w:rPr>
    </w:lvl>
    <w:lvl w:ilvl="1">
      <w:start w:val="1"/>
      <w:numFmt w:val="upperLetter"/>
      <w:lvlText w:val="%2."/>
      <w:lvlJc w:val="start"/>
      <w:pPr>
        <w:tabs>
          <w:tab w:val="num" w:pos="720"/>
        </w:tabs>
        <w:ind w:start="720" w:hanging="0"/>
      </w:pPr>
      <w:rPr>
        <w:color w:val="000000"/>
      </w:rPr>
    </w:lvl>
    <w:lvl w:ilvl="2">
      <w:start w:val="1"/>
      <w:numFmt w:val="decimal"/>
      <w:lvlText w:val="%3."/>
      <w:lvlJc w:val="start"/>
      <w:pPr>
        <w:tabs>
          <w:tab w:val="num" w:pos="1800"/>
        </w:tabs>
        <w:ind w:start="0" w:firstLine="1440"/>
      </w:pPr>
      <w:rPr>
        <w:color w:val="000000"/>
      </w:rPr>
    </w:lvl>
    <w:lvl w:ilvl="3">
      <w:start w:val="1"/>
      <w:numFmt w:val="lowerLetter"/>
      <w:lvlText w:val="%4."/>
      <w:lvlJc w:val="start"/>
      <w:pPr>
        <w:tabs>
          <w:tab w:val="num" w:pos="2880"/>
        </w:tabs>
        <w:ind w:start="2880" w:hanging="720"/>
      </w:pPr>
      <w:rPr>
        <w:color w:val="000000"/>
      </w:rPr>
    </w:lvl>
    <w:lvl w:ilvl="4">
      <w:start w:val="1"/>
      <w:pStyle w:val="Heading5"/>
      <w:numFmt w:val="lowerRoman"/>
      <w:lvlText w:val="(%5)"/>
      <w:lvlJc w:val="start"/>
      <w:pPr>
        <w:tabs>
          <w:tab w:val="num" w:pos="3528"/>
        </w:tabs>
        <w:ind w:start="3528" w:hanging="648"/>
      </w:pPr>
      <w:rPr>
        <w:color w:val="000000"/>
      </w:rPr>
    </w:lvl>
    <w:lvl w:ilvl="5">
      <w:start w:val="1"/>
      <w:pStyle w:val="Heading6"/>
      <w:numFmt w:val="lowerLetter"/>
      <w:lvlText w:val="(%6)"/>
      <w:lvlJc w:val="start"/>
      <w:pPr>
        <w:tabs>
          <w:tab w:val="num" w:pos="4320"/>
        </w:tabs>
        <w:ind w:start="4320" w:hanging="720"/>
      </w:pPr>
      <w:rPr>
        <w:color w:val="000000"/>
      </w:rPr>
    </w:lvl>
    <w:lvl w:ilvl="6">
      <w:start w:val="1"/>
      <w:pStyle w:val="Heading7"/>
      <w:numFmt w:val="decimal"/>
      <w:lvlText w:val="(%7)"/>
      <w:lvlJc w:val="start"/>
      <w:pPr>
        <w:tabs>
          <w:tab w:val="num" w:pos="5040"/>
        </w:tabs>
        <w:ind w:start="5040" w:hanging="720"/>
      </w:pPr>
      <w:rPr>
        <w:color w:val="000000"/>
      </w:rPr>
    </w:lvl>
    <w:lvl w:ilvl="7">
      <w:start w:val="1"/>
      <w:pStyle w:val="Heading8"/>
      <w:numFmt w:val="lowerLetter"/>
      <w:lvlText w:val="%8)"/>
      <w:lvlJc w:val="start"/>
      <w:pPr>
        <w:tabs>
          <w:tab w:val="num" w:pos="5760"/>
        </w:tabs>
        <w:ind w:start="5760" w:hanging="720"/>
      </w:pPr>
      <w:rPr>
        <w:color w:val="000000"/>
      </w:rPr>
    </w:lvl>
    <w:lvl w:ilvl="8">
      <w:start w:val="1"/>
      <w:pStyle w:val="Heading9"/>
      <w:numFmt w:val="lowerRoman"/>
      <w:lvlText w:val="%9)"/>
      <w:lvlJc w:val="start"/>
      <w:pPr>
        <w:tabs>
          <w:tab w:val="num" w:pos="6480"/>
        </w:tabs>
        <w:ind w:start="6480" w:hanging="720"/>
      </w:pPr>
      <w:rPr>
        <w:color w:val="000000"/>
      </w:rPr>
    </w:lvl>
  </w:abstractNum>
  <w:abstractNum w:abstractNumId="2">
    <w:lvl w:ilvl="0">
      <w:start w:val="1"/>
      <w:numFmt w:val="lowerRoman"/>
      <w:lvlText w:val="(%1)"/>
      <w:lvlJc w:val="end"/>
      <w:pPr>
        <w:tabs>
          <w:tab w:val="num" w:pos="1800"/>
        </w:tabs>
        <w:ind w:start="1800" w:hanging="360"/>
      </w:pPr>
    </w:lvl>
  </w:abstractNum>
  <w:abstractNum w:abstractNumId="3">
    <w:lvl w:ilvl="0">
      <w:start w:val="1"/>
      <w:numFmt w:val="lowerLetter"/>
      <w:lvlText w:val="(%1)"/>
      <w:lvlJc w:val="start"/>
      <w:pPr>
        <w:tabs>
          <w:tab w:val="num" w:pos="360"/>
        </w:tabs>
        <w:ind w:start="360" w:hanging="360"/>
      </w:pPr>
    </w:lvl>
  </w:abstractNum>
  <w:abstractNum w:abstractNumId="4">
    <w:lvl w:ilvl="0">
      <w:start w:val="1"/>
      <w:numFmt w:val="decimal"/>
      <w:lvlText w:val="%1."/>
      <w:lvlJc w:val="start"/>
      <w:pPr>
        <w:tabs>
          <w:tab w:val="num" w:pos="720"/>
        </w:tabs>
        <w:ind w:start="720" w:hanging="360"/>
      </w:pPr>
    </w:lvl>
  </w:abstractNum>
  <w:abstractNum w:abstractNumId="5">
    <w:lvl w:ilvl="0">
      <w:start w:val="1"/>
      <w:numFmt w:val="bullet"/>
      <w:lvlText w:val=""/>
      <w:lvlJc w:val="start"/>
      <w:pPr>
        <w:tabs>
          <w:tab w:val="num" w:pos="1800"/>
        </w:tabs>
        <w:ind w:start="1800" w:hanging="360"/>
      </w:pPr>
      <w:rPr>
        <w:rFonts w:ascii="Symbol" w:hAnsi="Symbol" w:cs="Symbol" w:hint="default"/>
      </w:rPr>
    </w:lvl>
  </w:abstractNum>
  <w:abstractNum w:abstractNumId="6">
    <w:lvl w:ilvl="0">
      <w:start w:val="1"/>
      <w:numFmt w:val="bullet"/>
      <w:lvlText w:val=""/>
      <w:lvlJc w:val="start"/>
      <w:pPr>
        <w:tabs>
          <w:tab w:val="num" w:pos="1440"/>
        </w:tabs>
        <w:ind w:start="1440" w:hanging="360"/>
      </w:pPr>
      <w:rPr>
        <w:rFonts w:ascii="Symbol" w:hAnsi="Symbol" w:cs="Symbol" w:hint="default"/>
      </w:rPr>
    </w:lvl>
  </w:abstractNum>
  <w:abstractNum w:abstractNumId="7">
    <w:lvl w:ilvl="0">
      <w:start w:val="1"/>
      <w:numFmt w:val="bullet"/>
      <w:lvlText w:val=""/>
      <w:lvlJc w:val="start"/>
      <w:pPr>
        <w:tabs>
          <w:tab w:val="num" w:pos="1080"/>
        </w:tabs>
        <w:ind w:start="108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decimal"/>
      <w:lvlText w:val="%1."/>
      <w:lvlJc w:val="start"/>
      <w:pPr>
        <w:tabs>
          <w:tab w:val="num" w:pos="360"/>
        </w:tabs>
        <w:ind w:start="0" w:hanging="0"/>
      </w:pPr>
      <w:rPr>
        <w:i w:val="false"/>
        <w:b/>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decimal"/>
      <w:lvlText w:val="%1."/>
      <w:lvlJc w:val="center"/>
      <w:pPr>
        <w:tabs>
          <w:tab w:val="num" w:pos="720"/>
        </w:tabs>
        <w:ind w:start="0" w:firstLine="360"/>
      </w:pPr>
      <w:rPr>
        <w:i w:val="false"/>
        <w:b/>
      </w:rPr>
    </w:lvl>
    <w:lvl w:ilvl="1">
      <w:start w:val="1"/>
      <w:isLgl/>
      <w:numFmt w:val="decimal"/>
      <w:lvlText w:val="%1.%2"/>
      <w:lvlJc w:val="start"/>
      <w:pPr>
        <w:tabs>
          <w:tab w:val="num" w:pos="720"/>
        </w:tabs>
        <w:ind w:start="0" w:hanging="0"/>
      </w:pPr>
      <w:rPr>
        <w:sz w:val="22"/>
        <w:i w:val="false"/>
        <w:b w:val="false"/>
      </w:rPr>
    </w:lvl>
    <w:lvl w:ilvl="2">
      <w:start w:val="1"/>
      <w:numFmt w:val="lowerLetter"/>
      <w:lvlText w:val="(%3)."/>
      <w:lvlJc w:val="start"/>
      <w:pPr>
        <w:tabs>
          <w:tab w:val="num" w:pos="1080"/>
        </w:tabs>
        <w:ind w:start="0" w:firstLine="720"/>
      </w:pPr>
      <w:rPr>
        <w:sz w:val="22"/>
        <w:i w:val="false"/>
        <w:b w:val="false"/>
        <w:rFonts w:ascii="Times New Roman" w:hAnsi="Times New Roman" w:cs="Times New Roman"/>
      </w:rPr>
    </w:lvl>
    <w:lvl w:ilvl="3">
      <w:start w:val="1"/>
      <w:numFmt w:val="lowerRoman"/>
      <w:lvlText w:val="(%4)"/>
      <w:lvlJc w:val="start"/>
      <w:pPr>
        <w:tabs>
          <w:tab w:val="num" w:pos="1728"/>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12">
    <w:lvl w:ilvl="0">
      <w:start w:val="1"/>
      <w:numFmt w:val="lowerLetter"/>
      <w:lvlText w:val="(%1)"/>
      <w:lvlJc w:val="start"/>
      <w:pPr>
        <w:tabs>
          <w:tab w:val="num" w:pos="720"/>
        </w:tabs>
        <w:ind w:start="720" w:hanging="720"/>
      </w:pPr>
    </w:lvl>
  </w:abstractNum>
  <w:abstractNum w:abstractNumId="13">
    <w:lvl w:ilvl="0">
      <w:start w:val="1"/>
      <w:numFmt w:val="lowerLetter"/>
      <w:lvlText w:val="(%1)"/>
      <w:lvlJc w:val="start"/>
      <w:pPr>
        <w:tabs>
          <w:tab w:val="num" w:pos="360"/>
        </w:tabs>
        <w:ind w:start="360" w:hanging="360"/>
      </w:pPr>
    </w:lvl>
  </w:abstractNum>
  <w:abstractNum w:abstractNumId="14">
    <w:lvl w:ilvl="0">
      <w:start w:val="1"/>
      <w:numFmt w:val="decimal"/>
      <w:lvlText w:val="%1."/>
      <w:lvlJc w:val="start"/>
      <w:pPr>
        <w:tabs>
          <w:tab w:val="num" w:pos="360"/>
        </w:tabs>
        <w:ind w:start="360" w:hanging="360"/>
      </w:pPr>
    </w:lvl>
  </w:abstractNum>
  <w:abstractNum w:abstractNumId="15">
    <w:lvl w:ilvl="0">
      <w:start w:val="1"/>
      <w:numFmt w:val="decimal"/>
      <w:lvlText w:val="%1."/>
      <w:lvlJc w:val="center"/>
      <w:pPr>
        <w:tabs>
          <w:tab w:val="num" w:pos="720"/>
        </w:tabs>
        <w:ind w:start="0" w:firstLine="360"/>
      </w:pPr>
      <w:rPr>
        <w:i w:val="false"/>
        <w:b/>
      </w:rPr>
    </w:lvl>
    <w:lvl w:ilvl="1">
      <w:start w:val="1"/>
      <w:isLgl/>
      <w:numFmt w:val="decimal"/>
      <w:lvlText w:val="%1.%2"/>
      <w:lvlJc w:val="start"/>
      <w:pPr>
        <w:tabs>
          <w:tab w:val="num" w:pos="360"/>
        </w:tabs>
        <w:ind w:start="0" w:hanging="0"/>
      </w:pPr>
      <w:rPr>
        <w:sz w:val="22"/>
        <w:i w:val="false"/>
        <w:b w:val="false"/>
      </w:rPr>
    </w:lvl>
    <w:lvl w:ilvl="2">
      <w:start w:val="1"/>
      <w:numFmt w:val="lowerLetter"/>
      <w:lvlText w:val="(%3)."/>
      <w:lvlJc w:val="start"/>
      <w:pPr>
        <w:tabs>
          <w:tab w:val="num" w:pos="1080"/>
        </w:tabs>
        <w:ind w:start="0" w:firstLine="720"/>
      </w:pPr>
      <w:rPr>
        <w:sz w:val="22"/>
        <w:i w:val="false"/>
        <w:b w:val="false"/>
        <w:rFonts w:ascii="Times New Roman" w:hAnsi="Times New Roman" w:cs="Times New Roman"/>
      </w:rPr>
    </w:lvl>
    <w:lvl w:ilvl="3">
      <w:start w:val="1"/>
      <w:numFmt w:val="lowerRoman"/>
      <w:lvlText w:val="(%4)"/>
      <w:lvlJc w:val="start"/>
      <w:pPr>
        <w:tabs>
          <w:tab w:val="num" w:pos="1728"/>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16">
    <w:lvl w:ilvl="0">
      <w:start w:val="1"/>
      <w:numFmt w:val="decimal"/>
      <w:lvlText w:val="%1."/>
      <w:lvlJc w:val="center"/>
      <w:pPr>
        <w:tabs>
          <w:tab w:val="num" w:pos="720"/>
        </w:tabs>
        <w:ind w:start="0" w:firstLine="360"/>
      </w:pPr>
      <w:rPr>
        <w:i w:val="false"/>
        <w:b/>
      </w:rPr>
    </w:lvl>
    <w:lvl w:ilvl="1">
      <w:start w:val="1"/>
      <w:isLgl/>
      <w:numFmt w:val="decimal"/>
      <w:lvlText w:val="%1.%2"/>
      <w:lvlJc w:val="start"/>
      <w:pPr>
        <w:tabs>
          <w:tab w:val="num" w:pos="360"/>
        </w:tabs>
        <w:ind w:start="0" w:hanging="0"/>
      </w:pPr>
      <w:rPr>
        <w:sz w:val="22"/>
        <w:i w:val="false"/>
        <w:b w:val="false"/>
      </w:rPr>
    </w:lvl>
    <w:lvl w:ilvl="2">
      <w:start w:val="1"/>
      <w:numFmt w:val="lowerLetter"/>
      <w:lvlText w:val="(%3)."/>
      <w:lvlJc w:val="start"/>
      <w:pPr>
        <w:tabs>
          <w:tab w:val="num" w:pos="1080"/>
        </w:tabs>
        <w:ind w:start="0" w:firstLine="720"/>
      </w:pPr>
      <w:rPr>
        <w:sz w:val="22"/>
        <w:i w:val="false"/>
        <w:b w:val="false"/>
        <w:rFonts w:ascii="Times New Roman" w:hAnsi="Times New Roman" w:cs="Times New Roman"/>
      </w:rPr>
    </w:lvl>
    <w:lvl w:ilvl="3">
      <w:start w:val="1"/>
      <w:numFmt w:val="lowerRoman"/>
      <w:lvlText w:val="(%4)"/>
      <w:lvlJc w:val="start"/>
      <w:pPr>
        <w:tabs>
          <w:tab w:val="num" w:pos="1728"/>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
    <w:lvlOverride w:ilvl="0">
      <w:startOverride w:val="1"/>
    </w:lvlOverride>
    <w:lvlOverride w:ilvl="1">
      <w:startOverride w:val="1"/>
    </w:lvlOverride>
  </w:num>
  <w:num w:numId="18">
    <w:abstractNumId w:val="1"/>
    <w:lvlOverride w:ilvl="0">
      <w:startOverride w:val="1"/>
    </w:lvlOverride>
    <w:lvlOverride w:ilvl="1">
      <w:startOverride w:val="1"/>
    </w:lvlOverride>
  </w:num>
  <w:num w:numId="19">
    <w:abstractNumId w:val="1"/>
    <w:lvlOverride w:ilvl="0">
      <w:startOverride w:val="1"/>
    </w:lvlOverride>
    <w:lvlOverride w:ilvl="1">
      <w:startOverride w:val="1"/>
    </w:lvlOverride>
  </w:num>
  <w:num w:numId="20">
    <w:abstractNumId w:val="12"/>
    <w:lvlOverride w:ilvl="0">
      <w:startOverride w:val="1"/>
    </w:lvlOverride>
  </w:num>
  <w:num w:numId="21">
    <w:abstractNumId w:val="1"/>
    <w:lvlOverride w:ilvl="0">
      <w:startOverride w:val="1"/>
    </w:lvlOverride>
    <w:lvlOverride w:ilvl="1">
      <w:startOverride w:val="1"/>
    </w:lvlOverride>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BodyText"/>
    <w:qFormat/>
    <w:pPr>
      <w:keepNext w:val="true"/>
      <w:keepLines/>
      <w:numPr>
        <w:ilvl w:val="0"/>
        <w:numId w:val="11"/>
      </w:numPr>
      <w:tabs>
        <w:tab w:val="clear" w:pos="720"/>
        <w:tab w:val="left" w:pos="1440" w:leader="none"/>
        <w:tab w:val="left" w:pos="2160" w:leader="none"/>
        <w:tab w:val="left" w:pos="2880" w:leader="none"/>
        <w:tab w:val="left" w:pos="3600" w:leader="none"/>
        <w:tab w:val="left" w:pos="4320" w:leader="none"/>
        <w:tab w:val="left" w:pos="5040" w:leader="dot"/>
      </w:tabs>
      <w:spacing w:before="0" w:after="200"/>
      <w:jc w:val="center"/>
      <w:outlineLvl w:val="0"/>
    </w:pPr>
    <w:rPr>
      <w:rFonts w:ascii="Times New Roman Bold;Times New Roman" w:hAnsi="Times New Roman Bold;Times New Roman" w:cs="Times New Roman Bold;Times New Roman"/>
      <w:b/>
      <w:caps/>
      <w:color w:val="000000"/>
      <w:sz w:val="19"/>
    </w:rPr>
  </w:style>
  <w:style w:type="paragraph" w:styleId="Heading2">
    <w:name w:val="heading 2"/>
    <w:basedOn w:val="Normal"/>
    <w:next w:val="BodyText"/>
    <w:qFormat/>
    <w:pPr>
      <w:numPr>
        <w:ilvl w:val="0"/>
        <w:numId w:val="11"/>
      </w:numPr>
      <w:spacing w:before="0" w:after="200"/>
      <w:jc w:val="both"/>
      <w:outlineLvl w:val="1"/>
    </w:pPr>
    <w:rPr>
      <w:color w:val="000000"/>
      <w:sz w:val="19"/>
    </w:rPr>
  </w:style>
  <w:style w:type="paragraph" w:styleId="Heading3">
    <w:name w:val="heading 3"/>
    <w:basedOn w:val="Heading2"/>
    <w:next w:val="BodyText"/>
    <w:qFormat/>
    <w:pPr>
      <w:numPr>
        <w:ilvl w:val="0"/>
        <w:numId w:val="11"/>
      </w:numPr>
      <w:outlineLvl w:val="2"/>
    </w:pPr>
    <w:rPr>
      <w:sz w:val="19"/>
    </w:rPr>
  </w:style>
  <w:style w:type="paragraph" w:styleId="Heading4">
    <w:name w:val="heading 4"/>
    <w:basedOn w:val="Normal"/>
    <w:next w:val="BodyText"/>
    <w:qFormat/>
    <w:pPr>
      <w:keepNext w:val="true"/>
      <w:numPr>
        <w:ilvl w:val="0"/>
        <w:numId w:val="11"/>
      </w:numPr>
      <w:spacing w:before="0" w:after="240"/>
      <w:outlineLvl w:val="3"/>
    </w:pPr>
    <w:rPr>
      <w:sz w:val="22"/>
    </w:rPr>
  </w:style>
  <w:style w:type="paragraph" w:styleId="Heading5">
    <w:name w:val="heading 5"/>
    <w:basedOn w:val="Normal"/>
    <w:next w:val="BodyText"/>
    <w:qFormat/>
    <w:pPr>
      <w:numPr>
        <w:ilvl w:val="4"/>
        <w:numId w:val="1"/>
      </w:numPr>
      <w:spacing w:before="0" w:after="240"/>
      <w:outlineLvl w:val="4"/>
    </w:pPr>
    <w:rPr/>
  </w:style>
  <w:style w:type="paragraph" w:styleId="Heading6">
    <w:name w:val="heading 6"/>
    <w:basedOn w:val="Normal"/>
    <w:next w:val="BodyText"/>
    <w:qFormat/>
    <w:pPr>
      <w:numPr>
        <w:ilvl w:val="5"/>
        <w:numId w:val="1"/>
      </w:numPr>
      <w:spacing w:before="0" w:after="240"/>
      <w:outlineLvl w:val="5"/>
    </w:pPr>
    <w:rPr/>
  </w:style>
  <w:style w:type="paragraph" w:styleId="Heading7">
    <w:name w:val="heading 7"/>
    <w:basedOn w:val="Normal"/>
    <w:next w:val="BodyText"/>
    <w:qFormat/>
    <w:pPr>
      <w:numPr>
        <w:ilvl w:val="6"/>
        <w:numId w:val="1"/>
      </w:numPr>
      <w:spacing w:before="0" w:after="240"/>
      <w:outlineLvl w:val="6"/>
    </w:pPr>
    <w:rPr>
      <w:color w:val="000000"/>
    </w:rPr>
  </w:style>
  <w:style w:type="paragraph" w:styleId="Heading8">
    <w:name w:val="heading 8"/>
    <w:basedOn w:val="Normal"/>
    <w:next w:val="BodyText"/>
    <w:qFormat/>
    <w:pPr>
      <w:numPr>
        <w:ilvl w:val="7"/>
        <w:numId w:val="1"/>
      </w:numPr>
      <w:spacing w:before="0" w:after="240"/>
      <w:outlineLvl w:val="7"/>
    </w:pPr>
    <w:rPr>
      <w:color w:val="000000"/>
    </w:rPr>
  </w:style>
  <w:style w:type="paragraph" w:styleId="Heading9">
    <w:name w:val="heading 9"/>
    <w:basedOn w:val="Normal"/>
    <w:next w:val="BodyText"/>
    <w:qFormat/>
    <w:pPr>
      <w:numPr>
        <w:ilvl w:val="8"/>
        <w:numId w:val="1"/>
      </w:numPr>
      <w:spacing w:before="0" w:after="240"/>
      <w:outlineLvl w:val="8"/>
    </w:pPr>
    <w:rPr>
      <w:color w:val="00000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b/>
      <w:i w:val="false"/>
    </w:rPr>
  </w:style>
  <w:style w:type="character" w:styleId="WW8Num10z0">
    <w:name w:val="WW8Num10z0"/>
    <w:qFormat/>
    <w:rPr>
      <w:rFonts w:ascii="Symbol" w:hAnsi="Symbol" w:cs="Symbol"/>
    </w:rPr>
  </w:style>
  <w:style w:type="character" w:styleId="WW8Num12z0">
    <w:name w:val="WW8Num12z0"/>
    <w:qFormat/>
    <w:rPr>
      <w:b/>
      <w:i w:val="false"/>
    </w:rPr>
  </w:style>
  <w:style w:type="character" w:styleId="WW8Num12z1">
    <w:name w:val="WW8Num12z1"/>
    <w:qFormat/>
    <w:rPr>
      <w:b w:val="false"/>
      <w:i w:val="false"/>
      <w:sz w:val="22"/>
    </w:rPr>
  </w:style>
  <w:style w:type="character" w:styleId="WW8Num12z2">
    <w:name w:val="WW8Num12z2"/>
    <w:qFormat/>
    <w:rPr>
      <w:rFonts w:ascii="Times New Roman" w:hAnsi="Times New Roman" w:cs="Times New Roman"/>
      <w:b w:val="false"/>
      <w:i w:val="false"/>
      <w:sz w:val="22"/>
    </w:rPr>
  </w:style>
  <w:style w:type="character" w:styleId="WW8Num13z0">
    <w:name w:val="WW8Num13z0"/>
    <w:qFormat/>
    <w:rPr>
      <w:rFonts w:ascii="Symbol" w:hAnsi="Symbol" w:cs="Symbol"/>
      <w:sz w:val="14"/>
    </w:rPr>
  </w:style>
  <w:style w:type="character" w:styleId="WW8Num17z0">
    <w:name w:val="WW8Num17z0"/>
    <w:qFormat/>
    <w:rPr>
      <w:color w:val="000000"/>
    </w:rPr>
  </w:style>
  <w:style w:type="character" w:styleId="WW8Num19z0">
    <w:name w:val="WW8Num19z0"/>
    <w:qFormat/>
    <w:rPr>
      <w:rFonts w:ascii="Times New Roman Bold;Times New Roman" w:hAnsi="Times New Roman Bold;Times New Roman" w:cs="Times New Roman Bold;Times New Roman"/>
      <w:b/>
      <w:i w:val="false"/>
      <w:color w:val="000000"/>
      <w:sz w:val="22"/>
      <w:u w:val="none"/>
    </w:rPr>
  </w:style>
  <w:style w:type="character" w:styleId="WW8Num19z1">
    <w:name w:val="WW8Num19z1"/>
    <w:qFormat/>
    <w:rPr>
      <w:rFonts w:ascii="Times New Roman" w:hAnsi="Times New Roman" w:cs="Times New Roman"/>
      <w:b w:val="false"/>
      <w:i w:val="false"/>
      <w:color w:val="000000"/>
      <w:sz w:val="22"/>
      <w:u w:val="none"/>
    </w:rPr>
  </w:style>
  <w:style w:type="character" w:styleId="WW8Num19z4">
    <w:name w:val="WW8Num19z4"/>
    <w:qFormat/>
    <w:rPr>
      <w:color w:val="000000"/>
    </w:rPr>
  </w:style>
  <w:style w:type="character" w:styleId="WW8Num20z0">
    <w:name w:val="WW8Num20z0"/>
    <w:qFormat/>
    <w:rPr>
      <w:b/>
    </w:rPr>
  </w:style>
  <w:style w:type="character" w:styleId="WW8Num21z0">
    <w:name w:val="WW8Num21z0"/>
    <w:qFormat/>
    <w:rPr>
      <w:b/>
    </w:rPr>
  </w:style>
  <w:style w:type="character" w:styleId="WW8Num22z0">
    <w:name w:val="WW8Num22z0"/>
    <w:qFormat/>
    <w:rPr/>
  </w:style>
  <w:style w:type="character" w:styleId="WW8Num25z0">
    <w:name w:val="WW8Num25z0"/>
    <w:qFormat/>
    <w:rPr>
      <w:rFonts w:ascii="Symbol" w:hAnsi="Symbol" w:cs="Symbol"/>
      <w:sz w:val="14"/>
    </w:rPr>
  </w:style>
  <w:style w:type="character" w:styleId="WW8Num26z0">
    <w:name w:val="WW8Num26z0"/>
    <w:qFormat/>
    <w:rPr/>
  </w:style>
  <w:style w:type="character" w:styleId="WW8Num27z0">
    <w:name w:val="WW8Num27z0"/>
    <w:qFormat/>
    <w:rPr>
      <w:rFonts w:ascii="Symbol" w:hAnsi="Symbol" w:cs="Symbol"/>
      <w:sz w:val="14"/>
    </w:rPr>
  </w:style>
  <w:style w:type="character" w:styleId="WW8Num28z0">
    <w:name w:val="WW8Num28z0"/>
    <w:qFormat/>
    <w:rPr>
      <w:color w:val="000000"/>
    </w:rPr>
  </w:style>
  <w:style w:type="character" w:styleId="WW8Num28z2">
    <w:name w:val="WW8Num28z2"/>
    <w:qFormat/>
    <w:rPr>
      <w:color w:val="000000"/>
      <w:u w:val="none"/>
    </w:rPr>
  </w:style>
  <w:style w:type="character" w:styleId="WW8Num29z0">
    <w:name w:val="WW8Num29z0"/>
    <w:qFormat/>
    <w:rPr>
      <w:rFonts w:ascii="Times New Roman" w:hAnsi="Times New Roman" w:cs="Times New Roman"/>
      <w:b w:val="false"/>
      <w:i w:val="false"/>
      <w:caps/>
      <w:strike w:val="false"/>
      <w:dstrike w:val="false"/>
      <w:outline w:val="false"/>
      <w:shadow w:val="false"/>
      <w:vanish w:val="false"/>
      <w:color w:val="auto"/>
      <w:position w:val="0"/>
      <w:sz w:val="24"/>
      <w:sz w:val="24"/>
      <w:u w:val="none"/>
      <w:vertAlign w:val="baseline"/>
    </w:rPr>
  </w:style>
  <w:style w:type="character" w:styleId="WW8Num29z1">
    <w:name w:val="WW8Num29z1"/>
    <w:qFormat/>
    <w:rPr>
      <w:rFonts w:ascii="Times New Roman" w:hAnsi="Times New Roman" w:cs="Times New Roman"/>
      <w:b w:val="false"/>
      <w:i w:val="false"/>
      <w:color w:val="000000"/>
      <w:sz w:val="24"/>
      <w:u w:val="none"/>
    </w:rPr>
  </w:style>
  <w:style w:type="character" w:styleId="WW8Num29z2">
    <w:name w:val="WW8Num29z2"/>
    <w:qFormat/>
    <w:rPr>
      <w:rFonts w:ascii="Times New Roman" w:hAnsi="Times New Roman" w:cs="Times New Roman"/>
      <w:b w:val="false"/>
      <w:i w:val="false"/>
      <w:sz w:val="24"/>
    </w:rPr>
  </w:style>
  <w:style w:type="character" w:styleId="WW8Num29z6">
    <w:name w:val="WW8Num29z6"/>
    <w:qFormat/>
    <w:rPr>
      <w:b w:val="false"/>
      <w:i w:val="false"/>
    </w:rPr>
  </w:style>
  <w:style w:type="character" w:styleId="WW8Num29z8">
    <w:name w:val="WW8Num29z8"/>
    <w:qFormat/>
    <w:rPr>
      <w:rFonts w:ascii="Symbol" w:hAnsi="Symbol" w:cs="Symbol"/>
      <w:color w:val="auto"/>
    </w:rPr>
  </w:style>
  <w:style w:type="character" w:styleId="WW8Num30z0">
    <w:name w:val="WW8Num30z0"/>
    <w:qFormat/>
    <w:rPr>
      <w:rFonts w:ascii="Times New Roman" w:hAnsi="Times New Roman" w:cs="Times New Roman"/>
      <w:b w:val="false"/>
      <w:i w:val="false"/>
      <w:caps w:val="false"/>
      <w:smallCaps w:val="false"/>
      <w:vanish w:val="false"/>
      <w:color w:val="000000"/>
      <w:sz w:val="24"/>
      <w:u w:val="none"/>
    </w:rPr>
  </w:style>
  <w:style w:type="character" w:styleId="WW8Num30z1">
    <w:name w:val="WW8Num30z1"/>
    <w:qFormat/>
    <w:rPr>
      <w:rFonts w:ascii="Times New Roman" w:hAnsi="Times New Roman" w:cs="Times New Roman"/>
      <w:b w:val="false"/>
      <w:i w:val="false"/>
      <w:caps w:val="false"/>
      <w:smallCaps w:val="false"/>
      <w:vanish w:val="false"/>
      <w:color w:val="000000"/>
      <w:sz w:val="24"/>
      <w:u w:val="none"/>
    </w:rPr>
  </w:style>
  <w:style w:type="character" w:styleId="WW8Num30z3">
    <w:name w:val="WW8Num30z3"/>
    <w:qFormat/>
    <w:rPr>
      <w:rFonts w:ascii="Times New Roman" w:hAnsi="Times New Roman" w:cs="Times New Roman"/>
      <w:i w:val="false"/>
      <w:caps w:val="false"/>
      <w:smallCaps w:val="false"/>
      <w:vanish w:val="false"/>
      <w:color w:val="000000"/>
      <w:sz w:val="24"/>
      <w:u w:val="none"/>
    </w:rPr>
  </w:style>
  <w:style w:type="character" w:styleId="WW8Num30z4">
    <w:name w:val="WW8Num30z4"/>
    <w:qFormat/>
    <w:rPr/>
  </w:style>
  <w:style w:type="character" w:styleId="WW8Num31z0">
    <w:name w:val="WW8Num31z0"/>
    <w:qFormat/>
    <w:rPr/>
  </w:style>
  <w:style w:type="character" w:styleId="WW8Num32z0">
    <w:name w:val="WW8Num32z0"/>
    <w:qFormat/>
    <w:rPr>
      <w:b w:val="false"/>
      <w:i w:val="false"/>
      <w:color w:val="000000"/>
    </w:rPr>
  </w:style>
  <w:style w:type="character" w:styleId="WW8Num32z1">
    <w:name w:val="WW8Num32z1"/>
    <w:qFormat/>
    <w:rPr>
      <w:b/>
      <w:i w:val="false"/>
      <w:color w:val="000000"/>
      <w:sz w:val="28"/>
    </w:rPr>
  </w:style>
  <w:style w:type="character" w:styleId="WW8Num32z2">
    <w:name w:val="WW8Num32z2"/>
    <w:qFormat/>
    <w:rPr>
      <w:color w:val="000000"/>
    </w:rPr>
  </w:style>
  <w:style w:type="character" w:styleId="WW8Num32z4">
    <w:name w:val="WW8Num32z4"/>
    <w:qFormat/>
    <w:rPr>
      <w:b/>
      <w:i w:val="false"/>
      <w:color w:val="000000"/>
    </w:rPr>
  </w:style>
  <w:style w:type="character" w:styleId="WW8Num33z0">
    <w:name w:val="WW8Num33z0"/>
    <w:qFormat/>
    <w:rPr>
      <w:rFonts w:ascii="Symbol" w:hAnsi="Symbol" w:cs="Symbol"/>
      <w:sz w:val="14"/>
    </w:rPr>
  </w:style>
  <w:style w:type="character" w:styleId="WW8Num34z0">
    <w:name w:val="WW8Num34z0"/>
    <w:qFormat/>
    <w:rPr>
      <w:b/>
    </w:rPr>
  </w:style>
  <w:style w:type="character" w:styleId="WW8Num35z0">
    <w:name w:val="WW8Num35z0"/>
    <w:qFormat/>
    <w:rPr/>
  </w:style>
  <w:style w:type="character" w:styleId="WW8Num35z1">
    <w:name w:val="WW8Num35z1"/>
    <w:qFormat/>
    <w:rPr>
      <w:b/>
      <w:i w:val="false"/>
    </w:rPr>
  </w:style>
  <w:style w:type="character" w:styleId="WW8Num36z0">
    <w:name w:val="WW8Num36z0"/>
    <w:qFormat/>
    <w:rPr>
      <w:rFonts w:ascii="Times New Roman Bold;Times New Roman" w:hAnsi="Times New Roman Bold;Times New Roman" w:cs="Times New Roman Bold;Times New Roman"/>
      <w:b/>
      <w:i w:val="false"/>
      <w:caps/>
      <w:strike w:val="false"/>
      <w:dstrike w:val="false"/>
      <w:outline w:val="false"/>
      <w:shadow w:val="false"/>
      <w:vanish w:val="false"/>
      <w:color w:val="auto"/>
      <w:position w:val="0"/>
      <w:sz w:val="24"/>
      <w:sz w:val="24"/>
      <w:u w:val="none"/>
      <w:vertAlign w:val="baseline"/>
    </w:rPr>
  </w:style>
  <w:style w:type="character" w:styleId="WW8Num36z1">
    <w:name w:val="WW8Num36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36z2">
    <w:name w:val="WW8Num36z2"/>
    <w:qFormat/>
    <w:rPr>
      <w:rFonts w:ascii="Times New Roman" w:hAnsi="Times New Roman" w:cs="Times New Roman"/>
      <w:b w:val="false"/>
      <w:i w:val="false"/>
      <w:sz w:val="24"/>
    </w:rPr>
  </w:style>
  <w:style w:type="character" w:styleId="WW8Num36z6">
    <w:name w:val="WW8Num36z6"/>
    <w:qFormat/>
    <w:rPr>
      <w:b w:val="false"/>
      <w:i w:val="false"/>
    </w:rPr>
  </w:style>
  <w:style w:type="character" w:styleId="WW8Num36z8">
    <w:name w:val="WW8Num36z8"/>
    <w:qFormat/>
    <w:rPr>
      <w:rFonts w:ascii="Symbol" w:hAnsi="Symbol" w:cs="Symbol"/>
      <w:color w:val="auto"/>
    </w:rPr>
  </w:style>
  <w:style w:type="character" w:styleId="WW8Num37z0">
    <w:name w:val="WW8Num37z0"/>
    <w:qFormat/>
    <w:rPr>
      <w:b/>
    </w:rPr>
  </w:style>
  <w:style w:type="character" w:styleId="WW8NumSt52z0">
    <w:name w:val="WW8NumSt52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character" w:styleId="Hyperlink">
    <w:name w:val="Hyperlink"/>
    <w:basedOn w:val="DefaultParagraphFont"/>
    <w:rPr>
      <w:color w:val="0000FF"/>
      <w:u w:val="single"/>
    </w:rPr>
  </w:style>
  <w:style w:type="character" w:styleId="Strong">
    <w:name w:val="Strong"/>
    <w:basedOn w:val="DefaultParagraphFont"/>
    <w:qFormat/>
    <w:rPr>
      <w:b/>
    </w:rPr>
  </w:style>
  <w:style w:type="paragraph" w:styleId="Heading">
    <w:name w:val="Heading"/>
    <w:basedOn w:val="Normal"/>
    <w:next w:val="BodyText"/>
    <w:qFormat/>
    <w:pPr>
      <w:keepNext w:val="true"/>
      <w:keepLines/>
      <w:suppressAutoHyphens w:val="true"/>
      <w:spacing w:before="0" w:after="240"/>
      <w:jc w:val="center"/>
      <w:outlineLvl w:val="0"/>
    </w:pPr>
    <w:rPr>
      <w:b/>
    </w:rPr>
  </w:style>
  <w:style w:type="paragraph" w:styleId="BodyText">
    <w:name w:val="Body Text"/>
    <w:basedOn w:val="Normal"/>
    <w:pPr>
      <w:spacing w:before="0" w:after="200"/>
      <w:ind w:firstLine="720" w:start="0" w:end="0"/>
      <w:jc w:val="both"/>
    </w:pPr>
    <w:rPr>
      <w:sz w:val="19"/>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Closing">
    <w:name w:val="Closing"/>
    <w:basedOn w:val="Normal"/>
    <w:qFormat/>
    <w:pPr>
      <w:keepNext w:val="true"/>
      <w:spacing w:before="0" w:after="240"/>
      <w:ind w:hanging="0" w:start="4680" w:end="0"/>
    </w:pPr>
    <w:rPr/>
  </w:style>
  <w:style w:type="paragraph" w:styleId="ClosingFirmName">
    <w:name w:val="Closing Firm Name"/>
    <w:basedOn w:val="Closing"/>
    <w:next w:val="Signature"/>
    <w:qFormat/>
    <w:pPr>
      <w:keepNext w:val="true"/>
      <w:keepLine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 w:val="right" w:pos="9360" w:leader="none"/>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exact" w:line="240"/>
    </w:pPr>
    <w:rPr>
      <w:rFonts w:ascii="Times New Roman" w:hAnsi="Times New Roman" w:eastAsia="Times New Roman" w:cs="Times New Roman"/>
      <w:color w:val="auto"/>
      <w:sz w:val="20"/>
      <w:szCs w:val="20"/>
      <w:lang w:val="en-US" w:bidi="ar-SA" w:eastAsia="zh-CN"/>
    </w:rPr>
  </w:style>
  <w:style w:type="paragraph" w:styleId="Signature">
    <w:name w:val="Signature"/>
    <w:basedOn w:val="Normal"/>
    <w:next w:val="ByLine"/>
    <w:pPr>
      <w:keepNext w:val="true"/>
      <w:keepLines/>
      <w:ind w:hanging="0" w:start="4680" w:end="0"/>
    </w:pPr>
    <w:rPr/>
  </w:style>
  <w:style w:type="paragraph" w:styleId="SignatureName">
    <w:name w:val="Signature Name"/>
    <w:basedOn w:val="Signature"/>
    <w:next w:val="ItsLine"/>
    <w:qFormat/>
    <w:pPr>
      <w:tabs>
        <w:tab w:val="clear" w:pos="720"/>
        <w:tab w:val="left" w:pos="5040" w:leader="none"/>
        <w:tab w:val="left" w:pos="9360" w:leader="none"/>
      </w:tabs>
      <w:spacing w:before="0" w:after="240"/>
      <w:ind w:hanging="0" w:start="5040" w:end="0"/>
    </w:pPr>
    <w:rPr/>
  </w:style>
  <w:style w:type="paragraph" w:styleId="BlockText2">
    <w:name w:val="Block Text 2"/>
    <w:basedOn w:val="Normal"/>
    <w:qFormat/>
    <w:pPr>
      <w:spacing w:lineRule="auto" w:line="480"/>
      <w:ind w:hanging="0" w:start="1440" w:end="1440"/>
    </w:pPr>
    <w:rPr/>
  </w:style>
  <w:style w:type="paragraph" w:styleId="CenteredHeading">
    <w:name w:val="Centered Heading"/>
    <w:basedOn w:val="Normal"/>
    <w:next w:val="BodyText"/>
    <w:qFormat/>
    <w:pPr>
      <w:keepNext w:val="true"/>
      <w:keepLines/>
      <w:spacing w:before="0" w:after="200"/>
      <w:jc w:val="center"/>
      <w:outlineLvl w:val="0"/>
    </w:pPr>
    <w:rPr>
      <w:b/>
    </w:rPr>
  </w:style>
  <w:style w:type="paragraph" w:styleId="ClosingFirmName1">
    <w:name w:val="ClosingFirmName"/>
    <w:basedOn w:val="Signature"/>
    <w:qFormat/>
    <w:pPr>
      <w:spacing w:before="0" w:after="960"/>
    </w:pPr>
    <w:rPr/>
  </w:style>
  <w:style w:type="paragraph" w:styleId="BodyTextFirstIndent">
    <w:name w:val="Body Text First Indent"/>
    <w:basedOn w:val="BodyText"/>
    <w:qFormat/>
    <w:pPr/>
    <w:rPr/>
  </w:style>
  <w:style w:type="paragraph" w:styleId="EnvelopeReturn">
    <w:name w:val="envelope return"/>
    <w:basedOn w:val="Normal"/>
    <w:pPr/>
    <w:rPr/>
  </w:style>
  <w:style w:type="paragraph" w:styleId="FootnoteText">
    <w:name w:val="footnote text"/>
    <w:basedOn w:val="Normal"/>
    <w:pPr>
      <w:tabs>
        <w:tab w:val="clear" w:pos="720"/>
        <w:tab w:val="left" w:pos="1080" w:leader="none"/>
      </w:tabs>
      <w:ind w:firstLine="720" w:start="0" w:end="0"/>
    </w:pPr>
    <w:rPr/>
  </w:style>
  <w:style w:type="paragraph" w:styleId="ListNumber4">
    <w:name w:val="List Number 4"/>
    <w:basedOn w:val="Normal"/>
    <w:qFormat/>
    <w:pPr>
      <w:tabs>
        <w:tab w:val="clear" w:pos="720"/>
        <w:tab w:val="left" w:pos="2160" w:leader="none"/>
      </w:tabs>
      <w:spacing w:before="0" w:after="240"/>
      <w:ind w:hanging="720" w:start="2160" w:end="0"/>
    </w:pPr>
    <w:rPr/>
  </w:style>
  <w:style w:type="paragraph" w:styleId="LeftHeading">
    <w:name w:val="Left Heading"/>
    <w:basedOn w:val="Normal"/>
    <w:next w:val="BodyText"/>
    <w:qFormat/>
    <w:pPr>
      <w:spacing w:before="0" w:after="240"/>
      <w:outlineLvl w:val="0"/>
    </w:pPr>
    <w:rPr>
      <w:u w:val="single"/>
    </w:rPr>
  </w:style>
  <w:style w:type="paragraph" w:styleId="BlockText">
    <w:name w:val="Block Text"/>
    <w:basedOn w:val="Normal"/>
    <w:qFormat/>
    <w:pPr>
      <w:spacing w:before="0" w:after="240"/>
      <w:ind w:hanging="0" w:start="1440" w:end="1440"/>
    </w:pPr>
    <w:rPr/>
  </w:style>
  <w:style w:type="paragraph" w:styleId="NormalIndent">
    <w:name w:val="Normal Indent"/>
    <w:basedOn w:val="Normal"/>
    <w:qFormat/>
    <w:pPr>
      <w:ind w:hanging="0" w:start="720" w:end="0"/>
    </w:pPr>
    <w:rPr/>
  </w:style>
  <w:style w:type="paragraph" w:styleId="TOAHeading">
    <w:name w:val="TOA Heading"/>
    <w:basedOn w:val="Normal"/>
    <w:next w:val="Normal"/>
    <w:qFormat/>
    <w:pPr>
      <w:spacing w:before="0" w:after="240"/>
      <w:outlineLvl w:val="0"/>
    </w:pPr>
    <w:rPr>
      <w:b/>
    </w:rPr>
  </w:style>
  <w:style w:type="paragraph" w:styleId="Subject">
    <w:name w:val="Subject"/>
    <w:basedOn w:val="Normal"/>
    <w:next w:val="Salutation"/>
    <w:qFormat/>
    <w:pPr>
      <w:spacing w:before="240" w:after="240"/>
      <w:ind w:hanging="720" w:start="2160" w:end="0"/>
    </w:pPr>
    <w:rPr/>
  </w:style>
  <w:style w:type="paragraph" w:styleId="Salutation">
    <w:name w:val="Salutation"/>
    <w:basedOn w:val="Normal"/>
    <w:next w:val="BodyText"/>
    <w:qFormat/>
    <w:pPr>
      <w:spacing w:before="0" w:after="240"/>
    </w:pPr>
    <w:rPr/>
  </w:style>
  <w:style w:type="paragraph" w:styleId="BodyText2">
    <w:name w:val="Body Text 2"/>
    <w:basedOn w:val="BodyText"/>
    <w:next w:val="BodyText"/>
    <w:qFormat/>
    <w:pPr>
      <w:ind w:hanging="0" w:start="0" w:end="0"/>
    </w:pPr>
    <w:rPr/>
  </w:style>
  <w:style w:type="paragraph" w:styleId="TOC1">
    <w:name w:val="toc 1"/>
    <w:basedOn w:val="Normal"/>
    <w:next w:val="Normal"/>
    <w:pPr>
      <w:spacing w:before="0" w:after="240"/>
      <w:ind w:hanging="0" w:start="0" w:end="720"/>
    </w:pPr>
    <w:rPr/>
  </w:style>
  <w:style w:type="paragraph" w:styleId="TOC2">
    <w:name w:val="toc 2"/>
    <w:basedOn w:val="Normal"/>
    <w:next w:val="Normal"/>
    <w:pPr>
      <w:tabs>
        <w:tab w:val="left" w:pos="720" w:leader="none"/>
        <w:tab w:val="left" w:pos="1440" w:leader="none"/>
        <w:tab w:val="right" w:pos="9350" w:leader="dot"/>
      </w:tabs>
      <w:spacing w:before="0" w:after="240"/>
      <w:ind w:hanging="0" w:start="720" w:end="720"/>
    </w:pPr>
    <w:rPr>
      <w:lang w:val="en-CA" w:eastAsia="en-CA"/>
    </w:rPr>
  </w:style>
  <w:style w:type="paragraph" w:styleId="TOC3">
    <w:name w:val="toc 3"/>
    <w:basedOn w:val="Normal"/>
    <w:next w:val="Normal"/>
    <w:pPr>
      <w:tabs>
        <w:tab w:val="clear" w:pos="720"/>
        <w:tab w:val="left" w:pos="2160" w:leader="none"/>
        <w:tab w:val="right" w:pos="9350" w:leader="dot"/>
      </w:tabs>
      <w:spacing w:before="0" w:after="240"/>
      <w:ind w:hanging="0" w:start="1440" w:end="720"/>
    </w:pPr>
    <w:rPr>
      <w:lang w:val="en-CA" w:eastAsia="en-CA"/>
    </w:rPr>
  </w:style>
  <w:style w:type="paragraph" w:styleId="TOC4">
    <w:name w:val="toc 4"/>
    <w:basedOn w:val="Normal"/>
    <w:next w:val="Normal"/>
    <w:pPr>
      <w:tabs>
        <w:tab w:val="clear" w:pos="720"/>
        <w:tab w:val="left" w:pos="2880" w:leader="none"/>
        <w:tab w:val="right" w:pos="9350" w:leader="dot"/>
      </w:tabs>
      <w:spacing w:before="0" w:after="240"/>
      <w:ind w:hanging="0" w:start="2160" w:end="720"/>
    </w:pPr>
    <w:rPr>
      <w:color w:val="000000"/>
      <w:lang w:val="en-CA" w:eastAsia="en-CA"/>
    </w:rPr>
  </w:style>
  <w:style w:type="paragraph" w:styleId="TOC5">
    <w:name w:val="toc 5"/>
    <w:basedOn w:val="Normal"/>
    <w:next w:val="Normal"/>
    <w:pPr>
      <w:tabs>
        <w:tab w:val="clear" w:pos="720"/>
        <w:tab w:val="left" w:pos="3600" w:leader="none"/>
        <w:tab w:val="right" w:pos="9350" w:leader="dot"/>
      </w:tabs>
      <w:spacing w:before="0" w:after="240"/>
      <w:ind w:hanging="0" w:start="2880" w:end="720"/>
    </w:pPr>
    <w:rPr>
      <w:color w:val="000000"/>
      <w:lang w:val="en-CA" w:eastAsia="en-CA"/>
    </w:rPr>
  </w:style>
  <w:style w:type="paragraph" w:styleId="TOC6">
    <w:name w:val="toc 6"/>
    <w:basedOn w:val="Normal"/>
    <w:next w:val="Normal"/>
    <w:pPr>
      <w:tabs>
        <w:tab w:val="clear" w:pos="720"/>
        <w:tab w:val="left" w:pos="4320" w:leader="none"/>
        <w:tab w:val="right" w:pos="9350" w:leader="dot"/>
      </w:tabs>
      <w:spacing w:before="0" w:after="240"/>
      <w:ind w:hanging="0" w:start="3600" w:end="720"/>
    </w:pPr>
    <w:rPr>
      <w:color w:val="000000"/>
      <w:lang w:val="en-CA" w:eastAsia="en-CA"/>
    </w:rPr>
  </w:style>
  <w:style w:type="paragraph" w:styleId="TOC7">
    <w:name w:val="toc 7"/>
    <w:basedOn w:val="Normal"/>
    <w:next w:val="Normal"/>
    <w:pPr>
      <w:tabs>
        <w:tab w:val="clear" w:pos="720"/>
        <w:tab w:val="left" w:pos="5040" w:leader="none"/>
        <w:tab w:val="right" w:pos="9350" w:leader="dot"/>
      </w:tabs>
      <w:ind w:hanging="0" w:start="4320" w:end="720"/>
    </w:pPr>
    <w:rPr>
      <w:lang w:val="en-CA" w:eastAsia="en-CA"/>
    </w:rPr>
  </w:style>
  <w:style w:type="paragraph" w:styleId="TOC8">
    <w:name w:val="toc 8"/>
    <w:basedOn w:val="Normal"/>
    <w:next w:val="Normal"/>
    <w:pPr>
      <w:ind w:hanging="0" w:start="5040" w:end="720"/>
    </w:pPr>
    <w:rPr/>
  </w:style>
  <w:style w:type="paragraph" w:styleId="FooterID">
    <w:name w:val="Footer ID"/>
    <w:basedOn w:val="Footer"/>
    <w:qFormat/>
    <w:pPr>
      <w:ind w:hanging="0" w:start="-720" w:end="0"/>
    </w:pPr>
    <w:rPr>
      <w:smallCaps/>
      <w:sz w:val="12"/>
    </w:rPr>
  </w:style>
  <w:style w:type="paragraph" w:styleId="Discovery">
    <w:name w:val="Discovery"/>
    <w:basedOn w:val="Normal"/>
    <w:next w:val="BodyText"/>
    <w:qFormat/>
    <w:pPr>
      <w:spacing w:lineRule="exact" w:line="480"/>
    </w:pPr>
    <w:rPr>
      <w:b/>
      <w:caps/>
    </w:rPr>
  </w:style>
  <w:style w:type="paragraph" w:styleId="TOC9">
    <w:name w:val="toc 9"/>
    <w:basedOn w:val="Normal"/>
    <w:next w:val="Normal"/>
    <w:pPr>
      <w:ind w:hanging="0" w:start="1920" w:end="0"/>
    </w:pPr>
    <w:rPr/>
  </w:style>
  <w:style w:type="paragraph" w:styleId="WPComment">
    <w:name w:val="WPComment"/>
    <w:basedOn w:val="Normal"/>
    <w:qFormat/>
    <w:pPr>
      <w:spacing w:before="120" w:after="120"/>
    </w:pPr>
    <w:rPr>
      <w:vanish/>
      <w:color w:val="FF0000"/>
    </w:rPr>
  </w:style>
  <w:style w:type="paragraph" w:styleId="Address">
    <w:name w:val="Address"/>
    <w:basedOn w:val="Normal"/>
    <w:next w:val="Subject"/>
    <w:qFormat/>
    <w:pPr>
      <w:spacing w:before="0" w:after="240"/>
    </w:pPr>
    <w:rPr/>
  </w:style>
  <w:style w:type="paragraph" w:styleId="bcc">
    <w:name w:val="bcc"/>
    <w:basedOn w:val="Normal"/>
    <w:qFormat/>
    <w:pPr>
      <w:pageBreakBefore/>
    </w:pPr>
    <w:rPr/>
  </w:style>
  <w:style w:type="paragraph" w:styleId="Date">
    <w:name w:val="Date"/>
    <w:basedOn w:val="Normal"/>
    <w:next w:val="Normal"/>
    <w:qFormat/>
    <w:pPr>
      <w:spacing w:before="0" w:after="480"/>
      <w:jc w:val="center"/>
    </w:pPr>
    <w:rPr/>
  </w:style>
  <w:style w:type="paragraph" w:styleId="BodyTextIndent2">
    <w:name w:val="Body Text Indent 2"/>
    <w:basedOn w:val="BodyText"/>
    <w:qFormat/>
    <w:pPr>
      <w:ind w:hanging="0" w:start="720" w:end="0"/>
    </w:pPr>
    <w:rPr/>
  </w:style>
  <w:style w:type="paragraph" w:styleId="BodyTextFirstIndent2">
    <w:name w:val="Body Text First Indent 2"/>
    <w:basedOn w:val="BodyText"/>
    <w:qFormat/>
    <w:pPr>
      <w:ind w:firstLine="720" w:start="720" w:end="0"/>
    </w:pPr>
    <w:rPr/>
  </w:style>
  <w:style w:type="paragraph" w:styleId="BodyTextIndent">
    <w:name w:val="Body Text Indent"/>
    <w:basedOn w:val="BodyText"/>
    <w:pPr>
      <w:ind w:firstLine="720" w:start="720" w:end="0"/>
    </w:pPr>
    <w:rPr/>
  </w:style>
  <w:style w:type="paragraph" w:styleId="BodyTextIndent3">
    <w:name w:val="Body Text Indent 3"/>
    <w:basedOn w:val="Normal"/>
    <w:qFormat/>
    <w:pPr>
      <w:spacing w:before="0" w:after="120"/>
      <w:ind w:hanging="0" w:start="360" w:end="0"/>
    </w:pPr>
    <w:rPr>
      <w:sz w:val="16"/>
    </w:rPr>
  </w:style>
  <w:style w:type="paragraph" w:styleId="ListNumber">
    <w:name w:val="List Number"/>
    <w:basedOn w:val="Normal"/>
    <w:qFormat/>
    <w:pPr>
      <w:numPr>
        <w:ilvl w:val="0"/>
        <w:numId w:val="9"/>
      </w:numPr>
      <w:tabs>
        <w:tab w:val="clear" w:pos="720"/>
        <w:tab w:val="left" w:pos="2160" w:leader="none"/>
      </w:tabs>
      <w:spacing w:before="0" w:after="240"/>
    </w:pPr>
    <w:rPr/>
  </w:style>
  <w:style w:type="paragraph" w:styleId="ListNumber2">
    <w:name w:val="List Number 2"/>
    <w:basedOn w:val="Normal"/>
    <w:qFormat/>
    <w:pPr>
      <w:numPr>
        <w:ilvl w:val="0"/>
        <w:numId w:val="4"/>
      </w:numPr>
      <w:tabs>
        <w:tab w:val="clear" w:pos="720"/>
        <w:tab w:val="left" w:pos="2160" w:leader="none"/>
      </w:tabs>
      <w:spacing w:before="0" w:after="240"/>
      <w:ind w:hanging="720" w:start="2160" w:end="0"/>
    </w:pPr>
    <w:rPr/>
  </w:style>
  <w:style w:type="paragraph" w:styleId="ListNumber3">
    <w:name w:val="List Number 3"/>
    <w:basedOn w:val="Normal"/>
    <w:qFormat/>
    <w:pPr>
      <w:numPr>
        <w:ilvl w:val="0"/>
        <w:numId w:val="3"/>
      </w:numPr>
      <w:tabs>
        <w:tab w:val="clear" w:pos="720"/>
        <w:tab w:val="left" w:pos="2160" w:leader="none"/>
      </w:tabs>
      <w:spacing w:before="0" w:after="240"/>
      <w:ind w:firstLine="1440" w:start="0" w:end="0"/>
    </w:pPr>
    <w:rPr/>
  </w:style>
  <w:style w:type="paragraph" w:styleId="ListNumber5">
    <w:name w:val="List Number 5"/>
    <w:basedOn w:val="Normal"/>
    <w:qFormat/>
    <w:pPr>
      <w:numPr>
        <w:ilvl w:val="0"/>
        <w:numId w:val="2"/>
      </w:numPr>
      <w:tabs>
        <w:tab w:val="clear" w:pos="720"/>
        <w:tab w:val="left" w:pos="2880" w:leader="none"/>
      </w:tabs>
      <w:spacing w:before="0" w:after="240"/>
      <w:ind w:hanging="446" w:start="2880" w:end="0"/>
    </w:pPr>
    <w:rPr/>
  </w:style>
  <w:style w:type="paragraph" w:styleId="Subtitle">
    <w:name w:val="Subtitle"/>
    <w:basedOn w:val="Normal"/>
    <w:next w:val="BodyText"/>
    <w:qFormat/>
    <w:pPr>
      <w:keepNext w:val="true"/>
      <w:keepLines/>
      <w:spacing w:before="0" w:after="240"/>
      <w:jc w:val="center"/>
      <w:outlineLvl w:val="1"/>
    </w:pPr>
    <w:rPr/>
  </w:style>
  <w:style w:type="paragraph" w:styleId="ListBullet">
    <w:name w:val="List Bullet"/>
    <w:basedOn w:val="Normal"/>
    <w:qFormat/>
    <w:pPr>
      <w:numPr>
        <w:ilvl w:val="0"/>
        <w:numId w:val="10"/>
      </w:numPr>
      <w:spacing w:before="0" w:after="240"/>
    </w:pPr>
    <w:rPr/>
  </w:style>
  <w:style w:type="paragraph" w:styleId="ListBullet2">
    <w:name w:val="List Bullet 2"/>
    <w:basedOn w:val="Normal"/>
    <w:qFormat/>
    <w:pPr>
      <w:numPr>
        <w:ilvl w:val="0"/>
        <w:numId w:val="8"/>
      </w:numPr>
      <w:spacing w:before="0" w:after="240"/>
      <w:ind w:hanging="0" w:start="1080" w:end="0"/>
    </w:pPr>
    <w:rPr/>
  </w:style>
  <w:style w:type="paragraph" w:styleId="ListBullet3">
    <w:name w:val="List Bullet 3"/>
    <w:basedOn w:val="Normal"/>
    <w:qFormat/>
    <w:pPr>
      <w:numPr>
        <w:ilvl w:val="0"/>
        <w:numId w:val="7"/>
      </w:numPr>
      <w:spacing w:before="0" w:after="240"/>
    </w:pPr>
    <w:rPr/>
  </w:style>
  <w:style w:type="paragraph" w:styleId="ListBullet4">
    <w:name w:val="List Bullet 4"/>
    <w:basedOn w:val="Normal"/>
    <w:qFormat/>
    <w:pPr>
      <w:numPr>
        <w:ilvl w:val="0"/>
        <w:numId w:val="6"/>
      </w:numPr>
      <w:spacing w:before="0" w:after="240"/>
    </w:pPr>
    <w:rPr/>
  </w:style>
  <w:style w:type="paragraph" w:styleId="ListBullet5">
    <w:name w:val="List Bullet 5"/>
    <w:basedOn w:val="Normal"/>
    <w:qFormat/>
    <w:pPr>
      <w:numPr>
        <w:ilvl w:val="0"/>
        <w:numId w:val="5"/>
      </w:numPr>
      <w:spacing w:before="0" w:after="240"/>
    </w:pPr>
    <w:rPr/>
  </w:style>
  <w:style w:type="paragraph" w:styleId="ListContinue">
    <w:name w:val="List Continue"/>
    <w:basedOn w:val="Normal"/>
    <w:qFormat/>
    <w:pPr>
      <w:spacing w:before="0" w:after="240"/>
      <w:ind w:hanging="0" w:start="360" w:end="0"/>
    </w:pPr>
    <w:rPr/>
  </w:style>
  <w:style w:type="paragraph" w:styleId="ListContinue2">
    <w:name w:val="List Continue 2"/>
    <w:basedOn w:val="Normal"/>
    <w:qFormat/>
    <w:pPr>
      <w:spacing w:before="0" w:after="240"/>
      <w:ind w:hanging="0" w:start="720" w:end="0"/>
    </w:pPr>
    <w:rPr/>
  </w:style>
  <w:style w:type="paragraph" w:styleId="ListContinue3">
    <w:name w:val="List Continue 3"/>
    <w:basedOn w:val="Normal"/>
    <w:qFormat/>
    <w:pPr>
      <w:spacing w:before="0" w:after="240"/>
      <w:ind w:hanging="0" w:start="1080" w:end="0"/>
    </w:pPr>
    <w:rPr/>
  </w:style>
  <w:style w:type="paragraph" w:styleId="ListContinue4">
    <w:name w:val="List Continue 4"/>
    <w:basedOn w:val="Normal"/>
    <w:qFormat/>
    <w:pPr>
      <w:spacing w:before="0" w:after="240"/>
      <w:ind w:hanging="0" w:start="1440" w:end="0"/>
    </w:pPr>
    <w:rPr/>
  </w:style>
  <w:style w:type="paragraph" w:styleId="ListContinue5">
    <w:name w:val="List Continue 5"/>
    <w:basedOn w:val="Normal"/>
    <w:qFormat/>
    <w:pPr>
      <w:spacing w:before="0" w:after="240"/>
      <w:ind w:hanging="0" w:start="1800" w:end="0"/>
    </w:pPr>
    <w:rPr/>
  </w:style>
  <w:style w:type="paragraph" w:styleId="ListNumberContinued">
    <w:name w:val="List Number Continued"/>
    <w:basedOn w:val="Normal"/>
    <w:qFormat/>
    <w:pPr>
      <w:spacing w:before="0" w:after="240"/>
      <w:ind w:hanging="0" w:start="2160" w:end="0"/>
    </w:pPr>
    <w:rPr/>
  </w:style>
  <w:style w:type="paragraph" w:styleId="ListRomanContinued">
    <w:name w:val="List Roman Continued"/>
    <w:basedOn w:val="ListContinue5"/>
    <w:qFormat/>
    <w:pPr>
      <w:ind w:hanging="0" w:start="2880" w:end="0"/>
    </w:pPr>
    <w:rPr/>
  </w:style>
  <w:style w:type="paragraph" w:styleId="DocumentMap">
    <w:name w:val="Document Map"/>
    <w:basedOn w:val="Normal"/>
    <w:qFormat/>
    <w:pPr>
      <w:shd w:fill="000080" w:val="clear"/>
    </w:pPr>
    <w:rPr>
      <w:rFonts w:ascii="Tahoma" w:hAnsi="Tahoma" w:cs="Tahoma"/>
    </w:rPr>
  </w:style>
  <w:style w:type="paragraph" w:styleId="TableSignatureLine">
    <w:name w:val="Table Signature Line"/>
    <w:basedOn w:val="Normal"/>
    <w:qFormat/>
    <w:pPr>
      <w:tabs>
        <w:tab w:val="clear" w:pos="720"/>
        <w:tab w:val="right" w:pos="4680" w:leader="underscore"/>
      </w:tabs>
    </w:pPr>
    <w:rPr/>
  </w:style>
  <w:style w:type="paragraph" w:styleId="SignatureLine">
    <w:name w:val="Signature Line"/>
    <w:basedOn w:val="Signature"/>
    <w:qFormat/>
    <w:pPr>
      <w:tabs>
        <w:tab w:val="clear" w:pos="720"/>
        <w:tab w:val="right" w:pos="9360" w:leader="underscore"/>
      </w:tabs>
      <w:spacing w:before="720" w:after="0"/>
    </w:pPr>
    <w:rPr/>
  </w:style>
  <w:style w:type="paragraph" w:styleId="TableSignature">
    <w:name w:val="Table Signature"/>
    <w:basedOn w:val="Normal"/>
    <w:next w:val="TableByLine"/>
    <w:qFormat/>
    <w:pPr>
      <w:keepNext w:val="true"/>
      <w:keepLines/>
    </w:pPr>
    <w:rPr/>
  </w:style>
  <w:style w:type="paragraph" w:styleId="TableByLine">
    <w:name w:val="Table By Line"/>
    <w:basedOn w:val="TableSignature"/>
    <w:next w:val="TableSignatureName"/>
    <w:qFormat/>
    <w:pPr>
      <w:tabs>
        <w:tab w:val="clear" w:pos="720"/>
        <w:tab w:val="left" w:pos="360" w:leader="none"/>
        <w:tab w:val="right" w:pos="4435" w:leader="underscore"/>
      </w:tabs>
      <w:spacing w:before="720" w:after="0"/>
    </w:pPr>
    <w:rPr/>
  </w:style>
  <w:style w:type="paragraph" w:styleId="TableSignatureName">
    <w:name w:val="Table Signature Name"/>
    <w:basedOn w:val="TableSignature"/>
    <w:next w:val="TableItsLine"/>
    <w:qFormat/>
    <w:pPr>
      <w:ind w:hanging="0" w:start="360" w:end="0"/>
    </w:pPr>
    <w:rPr/>
  </w:style>
  <w:style w:type="paragraph" w:styleId="TableItsLine">
    <w:name w:val="Table Its Line"/>
    <w:basedOn w:val="TableSignature"/>
    <w:next w:val="TableCorporateSignatureTitle"/>
    <w:qFormat/>
    <w:pPr>
      <w:tabs>
        <w:tab w:val="clear" w:pos="720"/>
        <w:tab w:val="left" w:pos="648" w:leader="none"/>
        <w:tab w:val="right" w:pos="4435" w:leader="underscore"/>
      </w:tabs>
      <w:ind w:hanging="0" w:start="360" w:end="0"/>
    </w:pPr>
    <w:rPr/>
  </w:style>
  <w:style w:type="paragraph" w:styleId="TableCorporateSignatureTitle">
    <w:name w:val="Table Corporate Signature Title"/>
    <w:basedOn w:val="TableSignature"/>
    <w:next w:val="TableSignature"/>
    <w:qFormat/>
    <w:pPr>
      <w:ind w:hanging="0" w:start="648" w:end="0"/>
    </w:pPr>
    <w:rPr/>
  </w:style>
  <w:style w:type="paragraph" w:styleId="ByLine">
    <w:name w:val="By Line"/>
    <w:basedOn w:val="Signature"/>
    <w:next w:val="SignatureName"/>
    <w:qFormat/>
    <w:pPr>
      <w:tabs>
        <w:tab w:val="clear" w:pos="720"/>
        <w:tab w:val="left" w:pos="5040" w:leader="none"/>
        <w:tab w:val="right" w:pos="9360" w:leader="underscore"/>
      </w:tabs>
      <w:spacing w:before="720" w:after="0"/>
    </w:pPr>
    <w:rPr/>
  </w:style>
  <w:style w:type="paragraph" w:styleId="ItsLine">
    <w:name w:val="Its Line"/>
    <w:basedOn w:val="Signature"/>
    <w:next w:val="CorporateSignatureTitle"/>
    <w:qFormat/>
    <w:pPr>
      <w:tabs>
        <w:tab w:val="clear" w:pos="720"/>
        <w:tab w:val="left" w:pos="5328" w:leader="none"/>
        <w:tab w:val="right" w:pos="9360" w:leader="underscore"/>
      </w:tabs>
      <w:ind w:hanging="0" w:start="5040" w:end="0"/>
    </w:pPr>
    <w:rPr/>
  </w:style>
  <w:style w:type="paragraph" w:styleId="CorporateSignatureTitle">
    <w:name w:val="Corporate Signature Title"/>
    <w:basedOn w:val="Signature"/>
    <w:next w:val="Signature"/>
    <w:qFormat/>
    <w:pPr>
      <w:ind w:hanging="0" w:start="5328" w:end="0"/>
    </w:pPr>
    <w:rPr/>
  </w:style>
  <w:style w:type="paragraph" w:styleId="textblock">
    <w:name w:val="text block"/>
    <w:basedOn w:val="Normal"/>
    <w:qFormat/>
    <w:pPr>
      <w:spacing w:before="0" w:after="240"/>
    </w:pPr>
    <w:rPr/>
  </w:style>
  <w:style w:type="paragraph" w:styleId="text">
    <w:name w:val="text"/>
    <w:basedOn w:val="Normal"/>
    <w:qFormat/>
    <w:pPr>
      <w:spacing w:before="0" w:after="240"/>
      <w:ind w:hanging="0" w:start="806" w:end="0"/>
    </w:pPr>
    <w:rPr/>
  </w:style>
  <w:style w:type="paragraph" w:styleId="PlainText">
    <w:name w:val="Plain Text"/>
    <w:basedOn w:val="Normal"/>
    <w:qFormat/>
    <w:pPr/>
    <w:rPr>
      <w:rFonts w:ascii="Courier New" w:hAnsi="Courier New" w:cs="Courier New"/>
      <w:sz w:val="20"/>
    </w:rPr>
  </w:style>
  <w:style w:type="paragraph" w:styleId="HeadingTitle">
    <w:name w:val="Heading Title"/>
    <w:basedOn w:val="Heading1"/>
    <w:qFormat/>
    <w:pPr>
      <w:keepNext w:val="false"/>
      <w:keepLines w:val="false"/>
      <w:numPr>
        <w:ilvl w:val="0"/>
        <w:numId w:val="11"/>
      </w:numPr>
      <w:tabs>
        <w:tab w:val="clear" w:pos="1440"/>
        <w:tab w:val="clear" w:pos="2160"/>
        <w:tab w:val="clear" w:pos="2880"/>
        <w:tab w:val="clear" w:pos="3600"/>
        <w:tab w:val="clear" w:pos="4320"/>
        <w:tab w:val="clear" w:pos="5040"/>
      </w:tabs>
      <w:spacing w:before="0" w:after="200"/>
      <w:ind w:hanging="0" w:start="0" w:end="720"/>
      <w:jc w:val="start"/>
    </w:pPr>
    <w:rPr>
      <w:rFonts w:ascii="Times New Roman" w:hAnsi="Times New Roman" w:cs="Times New Roman"/>
      <w:color w:val="auto"/>
      <w:sz w:val="24"/>
      <w:u w:val="single"/>
    </w:rPr>
  </w:style>
  <w:style w:type="paragraph" w:styleId="H2">
    <w:name w:val="H2"/>
    <w:basedOn w:val="Normal"/>
    <w:next w:val="Normal"/>
    <w:qFormat/>
    <w:pPr>
      <w:keepNext w:val="true"/>
      <w:spacing w:before="100" w:after="100"/>
      <w:outlineLvl w:val="2"/>
    </w:pPr>
    <w:rPr>
      <w:b/>
      <w:sz w:val="36"/>
    </w:rPr>
  </w:style>
  <w:style w:type="paragraph" w:styleId="Body">
    <w:name w:val="Body"/>
    <w:basedOn w:val="Normal"/>
    <w:qFormat/>
    <w:pPr>
      <w:spacing w:lineRule="atLeast" w:line="240"/>
      <w:jc w:val="both"/>
    </w:pPr>
    <w:rPr>
      <w:rFonts w:ascii="Helvetica" w:hAnsi="Helvetica" w:cs="Helvetica"/>
      <w:sz w:val="24"/>
    </w:rPr>
  </w:style>
  <w:style w:type="paragraph" w:styleId="AHeading2">
    <w:name w:val="A Heading 2"/>
    <w:basedOn w:val="Normal"/>
    <w:qFormat/>
    <w:pPr>
      <w:tabs>
        <w:tab w:val="clear" w:pos="720"/>
      </w:tabs>
      <w:spacing w:before="0" w:after="240"/>
      <w:jc w:val="both"/>
      <w:outlineLvl w:val="1"/>
    </w:pPr>
    <w:rPr>
      <w:rFonts w:ascii="CG Times (W1)" w:hAnsi="CG Times (W1)" w:cs="CG Times (W1)"/>
      <w:sz w:val="24"/>
    </w:rPr>
  </w:style>
  <w:style w:type="paragraph" w:styleId="BodyLettersHang">
    <w:name w:val="BodyLettersHang"/>
    <w:basedOn w:val="Normal"/>
    <w:qFormat/>
    <w:pPr>
      <w:widowControl w:val="false"/>
      <w:numPr>
        <w:ilvl w:val="0"/>
        <w:numId w:val="13"/>
      </w:numPr>
      <w:spacing w:before="0" w:after="240"/>
    </w:pPr>
    <w:rPr>
      <w:sz w:val="24"/>
    </w:rPr>
  </w:style>
  <w:style w:type="paragraph" w:styleId="BodyNumInd">
    <w:name w:val="BodyNumInd"/>
    <w:basedOn w:val="BodyText"/>
    <w:qFormat/>
    <w:pPr>
      <w:widowControl w:val="false"/>
      <w:numPr>
        <w:ilvl w:val="0"/>
        <w:numId w:val="14"/>
      </w:numPr>
      <w:tabs>
        <w:tab w:val="clear" w:pos="720"/>
        <w:tab w:val="left" w:pos="1080" w:leader="none"/>
      </w:tabs>
      <w:spacing w:before="0" w:after="240"/>
      <w:ind w:firstLine="720" w:start="0" w:end="0"/>
      <w:jc w:val="start"/>
    </w:pPr>
    <w:rPr>
      <w:sz w:val="24"/>
    </w:rPr>
  </w:style>
  <w:style w:type="paragraph" w:styleId="AHeading1">
    <w:name w:val="A Heading 1"/>
    <w:basedOn w:val="Heading1"/>
    <w:next w:val="BodyText"/>
    <w:qFormat/>
    <w:pPr>
      <w:widowControl w:val="false"/>
      <w:tabs>
        <w:tab w:val="clear" w:pos="1440"/>
        <w:tab w:val="clear" w:pos="2160"/>
        <w:tab w:val="clear" w:pos="2880"/>
        <w:tab w:val="clear" w:pos="3600"/>
        <w:tab w:val="clear" w:pos="4320"/>
        <w:tab w:val="clear" w:pos="5040"/>
      </w:tabs>
      <w:spacing w:before="360" w:after="240"/>
    </w:pPr>
    <w:rPr>
      <w:caps w:val="false"/>
      <w:smallCaps w:val="false"/>
      <w:color w:val="auto"/>
      <w:sz w:val="24"/>
    </w:rPr>
  </w:style>
  <w:style w:type="paragraph" w:styleId="AHeading3">
    <w:name w:val="A Heading 3"/>
    <w:basedOn w:val="Normal"/>
    <w:qFormat/>
    <w:pPr>
      <w:spacing w:before="240" w:after="0"/>
      <w:jc w:val="both"/>
      <w:outlineLvl w:val="2"/>
    </w:pPr>
    <w:rPr>
      <w:sz w:val="24"/>
    </w:rPr>
  </w:style>
  <w:style w:type="paragraph" w:styleId="BodyLettersInd">
    <w:name w:val="BodyLettersInd"/>
    <w:basedOn w:val="Normal"/>
    <w:qFormat/>
    <w:pPr>
      <w:numPr>
        <w:ilvl w:val="0"/>
        <w:numId w:val="12"/>
      </w:numPr>
      <w:tabs>
        <w:tab w:val="clear" w:pos="720"/>
        <w:tab w:val="left" w:pos="2520" w:leader="none"/>
      </w:tabs>
      <w:spacing w:before="0" w:after="120"/>
      <w:ind w:firstLine="1080" w:start="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BPH Plain.dot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2001-02-16T11:53:00Z</dcterms:created>
  <dc:creator>tyanows</dc:creator>
  <dc:description/>
  <dc:language>en-CA</dc:language>
  <cp:lastModifiedBy>tyanows</cp:lastModifiedBy>
  <cp:lastPrinted>2001-02-16T08:23:00Z</cp:lastPrinted>
  <dcterms:modified xsi:type="dcterms:W3CDTF">2001-02-16T11:53:00Z</dcterms:modified>
  <cp:revision>2</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ressee(s)">
    <vt:lpwstr> </vt:lpwstr>
  </property>
  <property fmtid="{D5CDD505-2E9C-101B-9397-08002B2CF9AE}" pid="3" name="Caption Bank Document">
    <vt:lpwstr> </vt:lpwstr>
  </property>
  <property fmtid="{D5CDD505-2E9C-101B-9397-08002B2CF9AE}" pid="4" name="Cause No.">
    <vt:lpwstr> </vt:lpwstr>
  </property>
  <property fmtid="{D5CDD505-2E9C-101B-9397-08002B2CF9AE}" pid="5" name="Client Name">
    <vt:lpwstr/>
  </property>
  <property fmtid="{D5CDD505-2E9C-101B-9397-08002B2CF9AE}" pid="6" name="Client No.">
    <vt:lpwstr/>
  </property>
  <property fmtid="{D5CDD505-2E9C-101B-9397-08002B2CF9AE}" pid="7" name="Date">
    <vt:lpwstr> </vt:lpwstr>
  </property>
  <property fmtid="{D5CDD505-2E9C-101B-9397-08002B2CF9AE}" pid="8" name="Doc Name">
    <vt:lpwstr> </vt:lpwstr>
  </property>
  <property fmtid="{D5CDD505-2E9C-101B-9397-08002B2CF9AE}" pid="9" name="Doc No.">
    <vt:lpwstr/>
  </property>
  <property fmtid="{D5CDD505-2E9C-101B-9397-08002B2CF9AE}" pid="10" name="Doc Path">
    <vt:lpwstr/>
  </property>
  <property fmtid="{D5CDD505-2E9C-101B-9397-08002B2CF9AE}" pid="11" name="DocumentType">
    <vt:lpwstr>   </vt:lpwstr>
  </property>
  <property fmtid="{D5CDD505-2E9C-101B-9397-08002B2CF9AE}" pid="12" name="FooterStore">
    <vt:lpwstr> </vt:lpwstr>
  </property>
  <property fmtid="{D5CDD505-2E9C-101B-9397-08002B2CF9AE}" pid="13" name="Local Office">
    <vt:lpwstr> </vt:lpwstr>
  </property>
  <property fmtid="{D5CDD505-2E9C-101B-9397-08002B2CF9AE}" pid="14" name="Matter Name">
    <vt:lpwstr/>
  </property>
  <property fmtid="{D5CDD505-2E9C-101B-9397-08002B2CF9AE}" pid="15" name="Matter No.">
    <vt:lpwstr/>
  </property>
  <property fmtid="{D5CDD505-2E9C-101B-9397-08002B2CF9AE}" pid="16" name="Orig Doc Path">
    <vt:lpwstr/>
  </property>
  <property fmtid="{D5CDD505-2E9C-101B-9397-08002B2CF9AE}" pid="17" name="Parties">
    <vt:lpwstr> </vt:lpwstr>
  </property>
  <property fmtid="{D5CDD505-2E9C-101B-9397-08002B2CF9AE}" pid="18" name="Signer(s)">
    <vt:lpwstr> </vt:lpwstr>
  </property>
</Properties>
</file>