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8.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7.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8.xml" ContentType="application/vnd.openxmlformats-officedocument.wordprocessingml.footer+xml"/>
  <Override PartName="/word/footer32.xml" ContentType="application/vnd.openxmlformats-officedocument.wordprocessingml.footer+xml"/>
  <Override PartName="/word/footer9.xml" ContentType="application/vnd.openxmlformats-officedocument.wordprocessingml.footer+xml"/>
  <Override PartName="/word/footer33.xml" ContentType="application/vnd.openxmlformats-officedocument.wordprocessingml.footer+xml"/>
  <Override PartName="/word/footer10.xml" ContentType="application/vnd.openxmlformats-officedocument.wordprocessingml.footer+xml"/>
  <Override PartName="/word/footer12.xml" ContentType="application/vnd.openxmlformats-officedocument.wordprocessingml.footer+xml"/>
  <Override PartName="/word/footer36.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header3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header35.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5.xml" ContentType="application/vnd.openxmlformats-officedocument.wordprocessingml.header+xml"/>
  <Override PartName="/word/footer35.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footer30.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header36.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header33.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Override PartName="/word/footer31.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header32.xml" ContentType="application/vnd.openxmlformats-officedocument.wordprocessingml.header+xml"/>
  <Override PartName="/word/header29.xml" ContentType="application/vnd.openxmlformats-officedocument.wordprocessingml.header+xml"/>
  <Override PartName="/word/header31.xml" ContentType="application/vnd.openxmlformats-officedocument.wordprocessingml.header+xml"/>
  <Override PartName="/word/media/image1.wmf" ContentType="image/x-wmf"/>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header25.xml" ContentType="application/vnd.openxmlformats-officedocument.wordprocessingml.header+xml"/>
  <Override PartName="/word/embeddings/oleObject1.bin" ContentType="application/vnd.openxmlformats-officedocument.oleObject"/>
  <Override PartName="/word/footer18.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Heading"/>
        <w:spacing w:before="0" w:after="480"/>
        <w:rPr/>
      </w:pPr>
      <w:r>
        <w:rPr/>
        <w:t>ASSET PURCHASE AGREEMENT</w:t>
      </w:r>
    </w:p>
    <w:p>
      <w:pPr>
        <w:pStyle w:val="BodyText"/>
        <w:rPr/>
      </w:pPr>
      <w:r>
        <w:rPr>
          <w:b/>
        </w:rPr>
        <w:t xml:space="preserve">THIS ASSET PURCHASE AGREEMENT </w:t>
      </w:r>
      <w:r>
        <w:rPr/>
        <w:t>(the “</w:t>
      </w:r>
      <w:r>
        <w:rPr>
          <w:u w:val="single"/>
        </w:rPr>
        <w:t>Agreement</w:t>
      </w:r>
      <w:r>
        <w:rPr/>
        <w:t>”) is dated as of February ___, 2001, and entered into by and between EC Outlook.com, Inc., a Delaware corporation (“</w:t>
      </w:r>
      <w:r>
        <w:rPr>
          <w:u w:val="single"/>
        </w:rPr>
        <w:t>Purchaser</w:t>
      </w:r>
      <w:r>
        <w:rPr/>
        <w:t>”), Enron Corp., an Oregon corporation (“</w:t>
      </w:r>
      <w:r>
        <w:rPr>
          <w:u w:val="single"/>
        </w:rPr>
        <w:t>Seller</w:t>
      </w:r>
      <w:r>
        <w:rPr/>
        <w:t>”) and Enron Net Works Investments, LLC, a Delaware limited liability company (“</w:t>
      </w:r>
      <w:r>
        <w:rPr>
          <w:u w:val="single"/>
        </w:rPr>
        <w:t>Enron Net Works</w:t>
      </w:r>
      <w:r>
        <w:rPr/>
        <w:t xml:space="preserve">”).  </w:t>
      </w:r>
    </w:p>
    <w:p>
      <w:pPr>
        <w:pStyle w:val="Subtitle"/>
        <w:rPr>
          <w:u w:val="single"/>
        </w:rPr>
      </w:pPr>
      <w:r>
        <w:rPr/>
        <w:t>RECITALS:</w:t>
      </w:r>
    </w:p>
    <w:p>
      <w:pPr>
        <w:pStyle w:val="BodyText"/>
        <w:rPr/>
      </w:pPr>
      <w:r>
        <w:rPr/>
        <w:t>WHEREAS, Seller desires to sell, and Purchaser desires to acquire from Seller, the Purchased Assets (as defined below), all subject to the terms and conditions hereinafter set forth.</w:t>
      </w:r>
    </w:p>
    <w:p>
      <w:pPr>
        <w:pStyle w:val="Subtitle"/>
        <w:rPr/>
      </w:pPr>
      <w:r>
        <w:rPr/>
        <w:t>AGREEMENT:</w:t>
      </w:r>
    </w:p>
    <w:p>
      <w:pPr>
        <w:pStyle w:val="BodyText"/>
        <w:rPr/>
      </w:pPr>
      <w:r>
        <w:rPr/>
        <w:t>NOW, THEREFORE, in consideration of the foregoing premises, the representations, warranties, covenants and agreements contained herein, and certain other good and valuable consideration, the receipt and sufficiency of which is hereby acknowledged, the parties hereto agree as follows:</w:t>
      </w:r>
    </w:p>
    <w:p>
      <w:pPr>
        <w:pStyle w:val="Heading1"/>
        <w:ind w:hanging="0" w:start="0"/>
        <w:rPr/>
      </w:pPr>
      <w:r>
        <w:rPr/>
        <w:br/>
        <w:t>THE ASSET PURCHASE</w:t>
      </w:r>
    </w:p>
    <w:p>
      <w:pPr>
        <w:pStyle w:val="Heading2"/>
        <w:ind w:hanging="0" w:start="0"/>
        <w:rPr/>
      </w:pPr>
      <w:r>
        <w:rPr>
          <w:u w:val="single"/>
        </w:rPr>
        <w:t>Purchased Assets To Be Transferred</w:t>
      </w:r>
      <w:r>
        <w:rPr/>
        <w:t xml:space="preserve">.  Subject to the terms and conditions of this Agreement, at the Closing (as defined below) Seller shall sell, transfer, convey, assign, and deliver to Purchaser, and Purchaser shall purchase and accept, all of the rights, claims and assets (of every kind, nature, character and description, whether real, personal or mixed, whether tangible or intangible, whether accrued, contingent or otherwise, and wherever situated) that are generally described in subparagraphs (a) through (d) below that relate to the Software (as defined in </w:t>
      </w:r>
      <w:r>
        <w:rPr>
          <w:u w:val="single"/>
        </w:rPr>
        <w:t>Schedule 1.1(a)(i)</w:t>
      </w:r>
      <w:r>
        <w:rPr/>
        <w:t xml:space="preserve"> hereto) (collectively, the “</w:t>
      </w:r>
      <w:r>
        <w:rPr>
          <w:u w:val="single"/>
        </w:rPr>
        <w:t>Purchased Assets</w:t>
      </w:r>
      <w:r>
        <w:rPr/>
        <w:t>”).  The Purchased Assets shall constitute the following:</w:t>
      </w:r>
    </w:p>
    <w:p>
      <w:pPr>
        <w:pStyle w:val="Heading3"/>
        <w:ind w:hanging="0" w:start="0"/>
        <w:rPr/>
      </w:pPr>
      <w:r>
        <w:rPr>
          <w:u w:val="single"/>
        </w:rPr>
        <w:t>Software</w:t>
      </w:r>
      <w:r>
        <w:rPr/>
        <w:t xml:space="preserve">.  The Software and Documentation (as defined in </w:t>
      </w:r>
      <w:r>
        <w:rPr>
          <w:u w:val="single"/>
        </w:rPr>
        <w:t>Schedule 1.1(a)(i)</w:t>
      </w:r>
      <w:r>
        <w:rPr/>
        <w:t xml:space="preserve"> hereto), which Software has the functionality summarized in </w:t>
      </w:r>
      <w:r>
        <w:rPr>
          <w:u w:val="single"/>
        </w:rPr>
        <w:t>Schedule 1.1(a)(ii)</w:t>
      </w:r>
      <w:r>
        <w:rPr/>
        <w:t xml:space="preserve"> hereto; and</w:t>
      </w:r>
    </w:p>
    <w:p>
      <w:pPr>
        <w:pStyle w:val="Heading3"/>
        <w:ind w:hanging="0" w:start="0"/>
        <w:rPr/>
      </w:pPr>
      <w:r>
        <w:rPr>
          <w:u w:val="single"/>
        </w:rPr>
        <w:t>Deliverables</w:t>
      </w:r>
      <w:r>
        <w:rPr/>
        <w:t xml:space="preserve">.  The Deliverables (as defined in Section 4.3 below); </w:t>
      </w:r>
    </w:p>
    <w:p>
      <w:pPr>
        <w:pStyle w:val="Heading3"/>
        <w:ind w:hanging="0" w:start="0"/>
        <w:rPr/>
      </w:pPr>
      <w:r>
        <w:rPr>
          <w:u w:val="single"/>
        </w:rPr>
        <w:t>Intellectual Property Rights</w:t>
      </w:r>
      <w:r>
        <w:rPr/>
        <w:t xml:space="preserve">.  All right, title and interest in or to any of Seller’s Intellectual Property Rights (as defined herein) relating to the Purchased Assets; </w:t>
      </w:r>
    </w:p>
    <w:p>
      <w:pPr>
        <w:pStyle w:val="Heading3"/>
        <w:ind w:hanging="0" w:start="0"/>
        <w:rPr/>
      </w:pPr>
      <w:r>
        <w:rPr>
          <w:u w:val="single"/>
        </w:rPr>
        <w:t>Customer Contracts</w:t>
      </w:r>
      <w:r>
        <w:rPr/>
        <w:t xml:space="preserve">.  If any, the customer contracts related to the Purchased Assets listed and attached hereto as </w:t>
      </w:r>
      <w:r>
        <w:rPr>
          <w:u w:val="single"/>
        </w:rPr>
        <w:t>Schedule 1.1(d)</w:t>
      </w:r>
      <w:r>
        <w:rPr/>
        <w:t xml:space="preserve"> (the “</w:t>
      </w:r>
      <w:r>
        <w:rPr>
          <w:u w:val="single"/>
        </w:rPr>
        <w:t>Customer Contracts</w:t>
      </w:r>
      <w:r>
        <w:rPr/>
        <w:t>”);and</w:t>
      </w:r>
    </w:p>
    <w:p>
      <w:pPr>
        <w:pStyle w:val="Heading3"/>
        <w:ind w:hanging="0" w:start="0"/>
        <w:rPr/>
      </w:pPr>
      <w:r>
        <w:rPr>
          <w:u w:val="single"/>
        </w:rPr>
        <w:t>Records And Files</w:t>
      </w:r>
      <w:r>
        <w:rPr/>
        <w:t>.  Copies of all records, files, invoices, accounting records, business records, and other data related to the Purchased Assets, to the extent that any of the foregoing exist at the Closing, and to the extent that any of the foregoing are created or produced after the Closing pursuant to Seller’s obligations hereunder, including the Deliverables.</w:t>
      </w:r>
    </w:p>
    <w:p>
      <w:pPr>
        <w:pStyle w:val="Heading2"/>
        <w:ind w:hanging="0" w:start="0"/>
        <w:rPr/>
      </w:pPr>
      <w:r>
        <w:rPr>
          <w:u w:val="single"/>
        </w:rPr>
        <w:t>Complete Transfer</w:t>
      </w:r>
      <w:r>
        <w:rPr/>
        <w:t>.  Seller expressly agrees that the sale of the Purchased Assets constitutes a transfer of all of Seller’s rights with respect to the Purchased Assets, including all masters of the Software, and that Seller reserves no, nor has granted, nor is aware of any, rights to market or otherwise transfer the Purchased Assets.</w:t>
      </w:r>
    </w:p>
    <w:p>
      <w:pPr>
        <w:pStyle w:val="Heading2"/>
        <w:ind w:hanging="0" w:start="0"/>
        <w:rPr/>
      </w:pPr>
      <w:r>
        <w:rPr>
          <w:u w:val="single"/>
        </w:rPr>
        <w:t>Liabilities Not Assumed</w:t>
      </w:r>
      <w:r>
        <w:rPr/>
        <w:t>.  Purchaser shall not assume, and shall not be obligated to pay or discharge, or to indemnify any party with respect to, any liability or obligation of Seller, including, without limitation, any rights or obligations of Texas Business Systems, LLC. d/b/a EC Power Inc. (“</w:t>
      </w:r>
      <w:r>
        <w:rPr>
          <w:u w:val="single"/>
        </w:rPr>
        <w:t>EC Power</w:t>
      </w:r>
      <w:r>
        <w:rPr/>
        <w:t xml:space="preserve">”), any claims with respect to product liabilities or product defects, or any contract or other customer obligation not specifically provided herein or on </w:t>
      </w:r>
      <w:r>
        <w:rPr>
          <w:u w:val="single"/>
        </w:rPr>
        <w:t>Schedule 1.1(d)</w:t>
      </w:r>
      <w:r>
        <w:rPr/>
        <w:t xml:space="preserve"> to be assigned to Purchaser.</w:t>
      </w:r>
    </w:p>
    <w:p>
      <w:pPr>
        <w:pStyle w:val="Heading2"/>
        <w:ind w:hanging="0" w:start="0"/>
        <w:rPr/>
      </w:pPr>
      <w:r>
        <w:rPr>
          <w:u w:val="single"/>
        </w:rPr>
        <w:t>Consideration</w:t>
      </w:r>
      <w:r>
        <w:rPr/>
        <w:t>.  At the Closing (as defined herein), in consideration for the sale of the Purchased Assets, Purchaser will (1) pay to Seller by check or by wire transfer of immediately available funds $2,500,000 (the “</w:t>
      </w:r>
      <w:r>
        <w:rPr>
          <w:u w:val="single"/>
        </w:rPr>
        <w:t>Closing Cash</w:t>
      </w:r>
      <w:r>
        <w:rPr/>
        <w:t>”) and (2) at Seller’s direction, issue to Seller’s affiliate, Enron Net Works, a warrant (the “</w:t>
      </w:r>
      <w:r>
        <w:rPr>
          <w:u w:val="single"/>
        </w:rPr>
        <w:t>Warrant</w:t>
      </w:r>
      <w:r>
        <w:rPr/>
        <w:t>”) to purchase up to 500,000 shares of its Common Stock, par value $0.01 per share (the “</w:t>
      </w:r>
      <w:r>
        <w:rPr>
          <w:u w:val="single"/>
        </w:rPr>
        <w:t>Common Stock</w:t>
      </w:r>
      <w:r>
        <w:rPr/>
        <w:t xml:space="preserve">”), at a price per share of $2.25, the form of which Warrant is attached hereto as </w:t>
      </w:r>
      <w:r>
        <w:rPr>
          <w:u w:val="single"/>
        </w:rPr>
        <w:t>Exhibit A</w:t>
      </w:r>
      <w:r>
        <w:rPr/>
        <w:t>.  The Closing Cash and the Warrant are sometimes hereinafter collectively referred to as the (“</w:t>
      </w:r>
      <w:r>
        <w:rPr>
          <w:u w:val="single"/>
        </w:rPr>
        <w:t>Closing Consideration</w:t>
      </w:r>
      <w:r>
        <w:rPr/>
        <w:t>”) and, together with any Subsequent Payment (as defined below), are sometimes collectively referred to herein as the “</w:t>
      </w:r>
      <w:r>
        <w:rPr>
          <w:u w:val="single"/>
        </w:rPr>
        <w:t>Consideration</w:t>
      </w:r>
      <w:r>
        <w:rPr/>
        <w:t>”.  In the event of any stock split, reverse split, stock dividend, subdivision or consolidation occurring after the date hereof, appropriate adjustment shall be made to the number of shares issuable pursuant to any of the warrants issuable hereunder.</w:t>
      </w:r>
    </w:p>
    <w:p>
      <w:pPr>
        <w:pStyle w:val="Heading2"/>
        <w:ind w:hanging="0" w:start="0"/>
        <w:rPr/>
      </w:pPr>
      <w:r>
        <w:rPr>
          <w:u w:val="single"/>
        </w:rPr>
        <w:t>Sales Tax</w:t>
      </w:r>
      <w:r>
        <w:rPr/>
        <w:t>.  Purchaser shall be liable for and shall pay any and all sales, use, documentary, transfer or other transaction taxes, duties and other similar charges (the “</w:t>
      </w:r>
      <w:r>
        <w:rPr>
          <w:u w:val="single"/>
        </w:rPr>
        <w:t>Taxes</w:t>
      </w:r>
      <w:r>
        <w:rPr/>
        <w:t>”)  (whether assessed or unassessed) applicable to the sale of the Purchased Assets including any Subsequent Payment, as well as any other Taxes attributable to periods (or portions thereof) beginning after the Closing or the date of delivery pursuant to Section 4.3, as applicable.  Seller shall be liable for and shall pay all Taxes (whether assessed or unassessed) applicable to the Purchased Assets, in each case attributable to periods (or portions thereof) ending on or prior to the Closing or the date of delivery pursuant to Section 4.3, as applicable.  For purposes of this paragraph, any period beginning before and ending after the Closing shall be treated as two partial periods, one ending on the Closing and the other beginning after the Closing.  Each of Seller and Purchaser has sought and received its own advice as to the tax treatment of the transactions covered by this Agreement and is not relying on any opinions of the other party or their respective advisors with respect thereto.</w:t>
      </w:r>
    </w:p>
    <w:p>
      <w:pPr>
        <w:pStyle w:val="Heading2"/>
        <w:ind w:hanging="0" w:start="0"/>
        <w:rPr/>
      </w:pPr>
      <w:r>
        <w:rPr>
          <w:u w:val="single"/>
        </w:rPr>
        <w:t>Closing</w:t>
      </w:r>
      <w:r>
        <w:rPr/>
        <w:t>.  Subject to the terms and conditions set forth herein, including the conditions set forth in Article V, the closing of the transactions contemplated hereby (the “</w:t>
      </w:r>
      <w:r>
        <w:rPr>
          <w:u w:val="single"/>
        </w:rPr>
        <w:t>Closing</w:t>
      </w:r>
      <w:r>
        <w:rPr/>
        <w:t>”) shall occur at the offices of Enron Corp., 1400 Smith Street, Houston, Texas, at 10:00 a.m., local time, on February ___, 2001, or at such other time and date to which the parties may agree in writing (the “</w:t>
      </w:r>
      <w:r>
        <w:rPr>
          <w:u w:val="single"/>
        </w:rPr>
        <w:t>Closing Date</w:t>
      </w:r>
      <w:r>
        <w:rPr/>
        <w:t xml:space="preserve">”).  </w:t>
      </w:r>
    </w:p>
    <w:p>
      <w:pPr>
        <w:pStyle w:val="Heading2"/>
        <w:ind w:hanging="0" w:start="0"/>
        <w:rPr>
          <w:u w:val="single"/>
        </w:rPr>
      </w:pPr>
      <w:r>
        <w:rPr>
          <w:u w:val="single"/>
        </w:rPr>
        <w:t>Subsequent Payments</w:t>
      </w:r>
      <w:r>
        <w:rPr/>
        <w:t xml:space="preserve">.  Upon the delivery to and acceptance by Purchaser of the Deliverables in accordance with the specifications set forth in Section 4.3, </w:t>
      </w:r>
      <w:r>
        <w:rPr>
          <w:u w:val="single"/>
        </w:rPr>
        <w:t>Schedule 4.3(a)</w:t>
      </w:r>
      <w:r>
        <w:rPr/>
        <w:t xml:space="preserve"> and </w:t>
      </w:r>
      <w:r>
        <w:rPr>
          <w:u w:val="single"/>
        </w:rPr>
        <w:t>Schedule 4.3(b)</w:t>
      </w:r>
      <w:r>
        <w:rPr/>
        <w:t xml:space="preserve"> hereto, all of which shall be in form and substance to Purchaser’s satisfaction, Purchaser shall pay to Seller the amount of cash as set forth below (each, a “</w:t>
      </w:r>
      <w:r>
        <w:rPr>
          <w:u w:val="single"/>
        </w:rPr>
        <w:t>Subsequent Payment</w:t>
      </w:r>
      <w:r>
        <w:rPr/>
        <w:t>” and together, the “</w:t>
      </w:r>
      <w:r>
        <w:rPr>
          <w:u w:val="single"/>
        </w:rPr>
        <w:t>Subsequent Payments</w:t>
      </w:r>
      <w:r>
        <w:rPr/>
        <w:t xml:space="preserve">”); </w:t>
      </w:r>
      <w:r>
        <w:rPr>
          <w:u w:val="single"/>
        </w:rPr>
        <w:t>provided,</w:t>
      </w:r>
      <w:r>
        <w:rPr/>
        <w:t xml:space="preserve"> </w:t>
      </w:r>
      <w:r>
        <w:rPr>
          <w:u w:val="single"/>
        </w:rPr>
        <w:t>however</w:t>
      </w:r>
      <w:r>
        <w:rPr/>
        <w:t>, that no Subsequent Payment shall be made with respect to Deliverables that are delivered later than 120 days after the Closing Date:</w:t>
      </w:r>
    </w:p>
    <w:p>
      <w:pPr>
        <w:pStyle w:val="Heading3"/>
        <w:ind w:hanging="0" w:start="0"/>
        <w:rPr/>
      </w:pPr>
      <w:r>
        <w:rPr/>
        <w:t xml:space="preserve">upon delivery to and acceptance by Purchaser of the Deliverables listed in Phases I, II and II of the project plan attached as </w:t>
      </w:r>
      <w:r>
        <w:rPr>
          <w:u w:val="single"/>
        </w:rPr>
        <w:t>Schedule 4.3(a)</w:t>
      </w:r>
      <w:r>
        <w:rPr/>
        <w:t xml:space="preserve"> hereto, </w:t>
      </w:r>
      <w:r>
        <w:rPr>
          <w:u w:val="single"/>
        </w:rPr>
        <w:t>provided</w:t>
      </w:r>
      <w:r>
        <w:rPr/>
        <w:t xml:space="preserve"> that delivery of all such Deliverables in accordance with the requirements of </w:t>
      </w:r>
      <w:r>
        <w:rPr>
          <w:u w:val="single"/>
        </w:rPr>
        <w:t>Schedule 4.3(b)</w:t>
      </w:r>
      <w:r>
        <w:rPr/>
        <w:t xml:space="preserve"> occurs within the time period specified therein, Purchaser shall pay to Seller by check or by wire transfer of immediately available funds $400,000; and</w:t>
      </w:r>
    </w:p>
    <w:p>
      <w:pPr>
        <w:pStyle w:val="Heading3"/>
        <w:ind w:hanging="0" w:start="0"/>
        <w:rPr/>
      </w:pPr>
      <w:r>
        <w:rPr/>
        <w:t xml:space="preserve">upon delivery to and acceptance by Purchaser of the remaining Deliverables set forth on </w:t>
      </w:r>
      <w:r>
        <w:rPr>
          <w:u w:val="single"/>
        </w:rPr>
        <w:t>Schedule 4.3(a)</w:t>
      </w:r>
      <w:r>
        <w:rPr/>
        <w:t xml:space="preserve">, </w:t>
      </w:r>
      <w:r>
        <w:rPr>
          <w:u w:val="single"/>
        </w:rPr>
        <w:t>provided</w:t>
      </w:r>
      <w:r>
        <w:rPr/>
        <w:t xml:space="preserve"> that delivery of all such Deliverables in accordance with the requirements of </w:t>
      </w:r>
      <w:r>
        <w:rPr>
          <w:u w:val="single"/>
        </w:rPr>
        <w:t>Schedule 4.3(b)</w:t>
      </w:r>
      <w:r>
        <w:rPr/>
        <w:t xml:space="preserve"> occurs within the time period specified therein, Purchaser shall pay to Seller by check or by wire transfer of immediately available funds $100,000.</w:t>
      </w:r>
    </w:p>
    <w:p>
      <w:pPr>
        <w:pStyle w:val="Heading2"/>
        <w:ind w:hanging="0" w:start="0"/>
        <w:rPr/>
      </w:pPr>
      <w:r>
        <w:rPr>
          <w:u w:val="single"/>
        </w:rPr>
        <w:t>Excluded Assets</w:t>
      </w:r>
      <w:r>
        <w:rPr/>
        <w:t>.  Notwithstanding the provisions of Section 1.1, the Purchased Assets shall not include the following (the “</w:t>
      </w:r>
      <w:r>
        <w:rPr>
          <w:u w:val="single"/>
        </w:rPr>
        <w:t>Excluded Assets</w:t>
      </w:r>
      <w:r>
        <w:rPr/>
        <w:t>”):</w:t>
      </w:r>
    </w:p>
    <w:p>
      <w:pPr>
        <w:pStyle w:val="Heading3"/>
        <w:ind w:hanging="0" w:start="0"/>
        <w:rPr/>
      </w:pPr>
      <w:r>
        <w:rPr/>
        <w:t xml:space="preserve">Except as otherwise set forth herein, those assets of Seller which do not comprise the Purchased Assets; and </w:t>
      </w:r>
    </w:p>
    <w:p>
      <w:pPr>
        <w:pStyle w:val="Heading3"/>
        <w:ind w:hanging="0" w:start="0"/>
        <w:rPr/>
      </w:pPr>
      <w:r>
        <w:rPr/>
        <w:t xml:space="preserve">Those assets of Seller which are set forth on </w:t>
      </w:r>
      <w:r>
        <w:rPr>
          <w:u w:val="single"/>
        </w:rPr>
        <w:t>Schedule 1.8(b)</w:t>
      </w:r>
      <w:r>
        <w:rPr/>
        <w:t xml:space="preserve"> hereto.</w:t>
      </w:r>
    </w:p>
    <w:p>
      <w:pPr>
        <w:pStyle w:val="Heading2"/>
        <w:ind w:hanging="0" w:start="0"/>
        <w:rPr/>
      </w:pPr>
      <w:r>
        <w:rPr>
          <w:u w:val="single"/>
        </w:rPr>
        <w:t>Assignment of Customer Contracts</w:t>
      </w:r>
      <w:r>
        <w:rPr/>
        <w:t xml:space="preserve">.  </w:t>
      </w:r>
    </w:p>
    <w:p>
      <w:pPr>
        <w:pStyle w:val="Heading3"/>
        <w:ind w:hanging="0" w:start="0"/>
        <w:rPr/>
      </w:pPr>
      <w:r>
        <w:rPr>
          <w:u w:val="single"/>
        </w:rPr>
        <w:t>Assignable Contracts</w:t>
      </w:r>
      <w:r>
        <w:rPr/>
        <w:t>.  From and after the Closing, Purchaser shall be entitled to the benefit of all of the Customer Contracts, if any.  Seller shall give such assistance to Purchaser as Purchaser shall reasonably request to enable Purchaser to enjoy the benefit of the Customer Contracts.  Insofar as consents to the transfer or assignment from third parties are required with respect to the Customer Contracts, Seller shall obtain such consents prior to the Closing.</w:t>
      </w:r>
    </w:p>
    <w:p>
      <w:pPr>
        <w:pStyle w:val="Heading3"/>
        <w:ind w:hanging="0" w:start="0"/>
        <w:rPr/>
      </w:pPr>
      <w:r>
        <w:rPr>
          <w:u w:val="single"/>
        </w:rPr>
        <w:t>Nonassignable Contracts</w:t>
      </w:r>
      <w:r>
        <w:rPr/>
        <w:t>.  In the case of any Customer Contract, if any, that is not by its terms assignable, Seller agrees to use reasonable efforts (at no cost or expense to Purchaser) to obtain, or cause to be obtained, any written consents or novations necessary to convey to Purchaser the benefit thereof.  If Seller and Purchaser are unable to obtain such a written consent or novation with respect to any Customer Contract, then, for the remaining term of such Customer Contract (in each case to the extent lawful), Purchaser shall act as Seller’s agent in the performance of all obligations under such Customer Contract and Seller shall act as Purchaser’s agent in receipt of any benefits, rights or interests that inure to such Seller under such Customer Contract.</w:t>
      </w:r>
    </w:p>
    <w:p>
      <w:pPr>
        <w:pStyle w:val="Heading1"/>
        <w:ind w:hanging="0" w:start="0"/>
        <w:rPr/>
      </w:pPr>
      <w:r>
        <w:rPr/>
        <w:t xml:space="preserve"> </w:t>
      </w:r>
      <w:r>
        <w:rPr/>
        <w:br/>
        <w:t xml:space="preserve">REPRESENTATIONS AND WARRANTIES </w:t>
        <w:br/>
        <w:t>OF SELLER AND ENRON NET WORKS</w:t>
      </w:r>
    </w:p>
    <w:p>
      <w:pPr>
        <w:pStyle w:val="Heading2"/>
        <w:ind w:hanging="0" w:start="0"/>
        <w:rPr/>
      </w:pPr>
      <w:r>
        <w:rPr/>
        <w:t>Seller represents and warrants to Purchaser as of the date hereof that:</w:t>
      </w:r>
    </w:p>
    <w:p>
      <w:pPr>
        <w:pStyle w:val="Heading3"/>
        <w:ind w:hanging="0" w:start="0"/>
        <w:rPr/>
      </w:pPr>
      <w:r>
        <w:rPr>
          <w:u w:val="single"/>
        </w:rPr>
        <w:t>Organization</w:t>
      </w:r>
      <w:r>
        <w:rPr/>
        <w:t>.  Seller is a corporation duly organized, validly existing and in good standing under the laws of the State of Oregon and has all requisite power and authority to own, operate and lease its properties and to carry on its business as now being conducted.  A true and correct copy of Seller’s organizational documents have been delivered to Purchaser.</w:t>
      </w:r>
    </w:p>
    <w:p>
      <w:pPr>
        <w:pStyle w:val="Heading3"/>
        <w:ind w:hanging="0" w:start="0"/>
        <w:rPr/>
      </w:pPr>
      <w:r>
        <w:rPr>
          <w:u w:val="single"/>
        </w:rPr>
        <w:t>Authority; Enforceability</w:t>
      </w:r>
      <w:r>
        <w:rPr/>
        <w:t>.  Seller has all requisite power and authority to execute and deliver this Agreement and any other documents and instruments required to be delivered at the Closing pursuant hereto, including the documents attached as exhibits hereto (the “</w:t>
      </w:r>
      <w:r>
        <w:rPr>
          <w:u w:val="single"/>
        </w:rPr>
        <w:t>Transaction Documents</w:t>
      </w:r>
      <w:r>
        <w:rPr/>
        <w:t>”) and to which it is a party to perform each of its obligations hereunder and thereunder to consummate the transactions contemplated hereby, and thereby all actions required on the part of Seller for such execution, delivery and performance has been duly and validly taken.  Assuming due execution and delivery by Purchaser, this Agreement and each of the Transaction Documents to which it is a party constitutes the legal, valid and binding obligation of Seller enforceable against Seller in accordance with their respective terms subject, as to enforcement of remedies, to applicable bankruptcy, insolvency, moratorium, reorganization or similar laws affecting creditors’ rights generally and to general equitable principles.</w:t>
      </w:r>
    </w:p>
    <w:p>
      <w:pPr>
        <w:pStyle w:val="Heading3"/>
        <w:ind w:hanging="0" w:start="0"/>
        <w:rPr/>
      </w:pPr>
      <w:r>
        <w:rPr>
          <w:u w:val="single"/>
        </w:rPr>
        <w:t>No Conflicts</w:t>
      </w:r>
      <w:r>
        <w:rPr/>
        <w:t>.  The execution and delivery by Seller of this Agreement and each of the Transaction Documents to which it is a party does not, and the performance and consummation by Seller of the transactions contemplated hereby or thereby will not (i) conflict with or result in a breach or violation of, or default under, or give rise to any right of acceleration or termination of, any of the terms, conditions or provisions of Seller’s organizational documents, any note, bond, lease, license, agreement or other instrument or obligation to which Seller is a party or by which Seller’s assets or properties, including the Purchased Assets, are bound; or (ii) violate any law, rule or regulation applicable to Seller or any of Seller’s assets or properties, including the Purchased Assets.</w:t>
      </w:r>
    </w:p>
    <w:p>
      <w:pPr>
        <w:pStyle w:val="Heading3"/>
        <w:ind w:hanging="0" w:start="0"/>
        <w:rPr/>
      </w:pPr>
      <w:r>
        <w:rPr>
          <w:u w:val="single"/>
        </w:rPr>
        <w:t>No Defaults</w:t>
      </w:r>
      <w:r>
        <w:rPr/>
        <w:t>.  Seller is not (a) in violation of any provision of its organizational documents or (b) in default or violation of any term, condition or provision of (i) any judicial or governmental decree or order applicable to Seller or (ii) any agreement, note, contract, lease or instrument, permit or license to which Seller is a party, nor will this Agreement, the Transaction Documents or any of the transactions contemplated hereby or thereby cause any violation or default.</w:t>
      </w:r>
    </w:p>
    <w:p>
      <w:pPr>
        <w:pStyle w:val="Heading3"/>
        <w:ind w:hanging="0" w:start="0"/>
        <w:rPr/>
      </w:pPr>
      <w:r>
        <w:rPr>
          <w:u w:val="single"/>
        </w:rPr>
        <w:t>Consents and Approvals</w:t>
      </w:r>
      <w:r>
        <w:rPr/>
        <w:t>.  No approval, consent, waiver or authorization of, or registration, declaration or filing with, exemption by or any notice to any governmental body or other third party is required to be made, obtained or given by Seller:  (a) for or in connection with the valid execution and delivery by Seller of this Agreement or the other Transaction Documents to which it is a party or the consummation by Seller of the transactions contemplated hereby and thereby, (b) for or in connection with the sale, transfer, assignment, conveyance, or delivery of the Purchased Assets to Purchaser, or (c) as a condition to the legality, validity or enforceability as against Seller of this Agreement or other Transaction Documents.</w:t>
      </w:r>
    </w:p>
    <w:p>
      <w:pPr>
        <w:pStyle w:val="Heading3"/>
        <w:ind w:hanging="0" w:start="0"/>
        <w:rPr/>
      </w:pPr>
      <w:r>
        <w:rPr>
          <w:u w:val="single"/>
        </w:rPr>
        <w:t>Litigation</w:t>
      </w:r>
      <w:r>
        <w:rPr/>
        <w:t>.  There is no action, proceeding or litigation of any nature, pending or threatened against or involving any of the Purchased Assets or the transactions contemplated by this Agreement or the Transaction Documents, nor does Seller have any reasonable basis to believe that there is any basis for any such litigation.</w:t>
      </w:r>
    </w:p>
    <w:p>
      <w:pPr>
        <w:pStyle w:val="Heading3"/>
        <w:ind w:hanging="0" w:start="0"/>
        <w:rPr/>
      </w:pPr>
      <w:r>
        <w:rPr>
          <w:u w:val="single"/>
        </w:rPr>
        <w:t>Intellectual Property</w:t>
      </w:r>
      <w:r>
        <w:rPr/>
        <w:t>.</w:t>
      </w:r>
    </w:p>
    <w:p>
      <w:pPr>
        <w:pStyle w:val="Heading4"/>
        <w:ind w:hanging="0" w:start="0"/>
        <w:rPr/>
      </w:pPr>
      <w:r>
        <w:rPr/>
        <w:t>Seller alone owns, all right, title and interest in all patents, trademarks, trade names, service marks, copyrights, and any applications therefor, maskworks, net lists, schematics, technology, know-how, trade secrets, inventory, ideas, algorithms, processes, computer software programs or applications (in source code and/or object code form), and tangible or intangible proprietary information or material  that are used or proposed to be used with respect to the Purchased Assets, including the Software (collectively, “</w:t>
      </w:r>
      <w:r>
        <w:rPr>
          <w:u w:val="single"/>
        </w:rPr>
        <w:t>Intellectual Property Rights</w:t>
      </w:r>
      <w:r>
        <w:rPr/>
        <w:t xml:space="preserve">”).  Except as set forth on </w:t>
      </w:r>
      <w:r>
        <w:rPr>
          <w:u w:val="single"/>
        </w:rPr>
        <w:t>Schedule 2.1(g)</w:t>
      </w:r>
      <w:r>
        <w:rPr/>
        <w:t>, Seller has not (i) licensed to any party any of the Intellectual Property Rights, whether in source code form or otherwise or (ii) entered into any exclusive agreements with any party relating to the Intellectual Property Rights.</w:t>
      </w:r>
    </w:p>
    <w:p>
      <w:pPr>
        <w:pStyle w:val="Heading4"/>
        <w:ind w:hanging="0" w:start="0"/>
        <w:rPr/>
      </w:pPr>
      <w:r>
        <w:rPr>
          <w:u w:val="single"/>
        </w:rPr>
        <w:t>Schedule 2.1(g)(ii)</w:t>
      </w:r>
      <w:r>
        <w:rPr/>
        <w:t xml:space="preserve"> hereto lists:  (i) all patents and patent applications and all registered and unregistered trademarks, trade names and service marks, registered and unregistered copyrights, and maskworks, included in the Intellectual Property Rights, including the jurisdictions in which each such Intellectual Property Right has been issued or registered or in which any application for such issuance and registration has been filed; (ii) all licenses, sublicenses and other agreements as to which Seller is a party and pursuant to which any person is authorized to use any Intellectual Property Rights; and (iii) all licenses, sublicenses and other agreements as to which Seller is a party and pursuant to which Seller is authorized to use any third party patents, trademarks or copyrights, including software (collectively, “</w:t>
      </w:r>
      <w:r>
        <w:rPr>
          <w:u w:val="single"/>
        </w:rPr>
        <w:t>Third Party Intellectual Property Rights</w:t>
      </w:r>
      <w:r>
        <w:rPr/>
        <w:t xml:space="preserve">”) which are incorporated in, are, or form a part of the Intellectual Property Rights or the Purchased Assets or Software.  </w:t>
      </w:r>
    </w:p>
    <w:p>
      <w:pPr>
        <w:pStyle w:val="Heading4"/>
        <w:ind w:hanging="0" w:start="0"/>
        <w:rPr/>
      </w:pPr>
      <w:r>
        <w:rPr/>
        <w:t>Seller warrants, but only represents to the best of its knowledge after reasonable inquiry and including constructive notice, that there is no unauthorized use, disclosure, infringement or misappropriation of any Intellectual Property Rights, or any Third Party Intellectual Property Right to the extent licensed by or through Seller, by any third party with respect to the Purchased Assets or the Software, including any employee, consultant, or former employee or consultant of Seller.  Seller has not entered into any agreement to indemnify any other person against any charge of infringement of any Intellectual Property Rights, other than indemnification provisions contained in purchase orders arising in the ordinary course of business.</w:t>
      </w:r>
    </w:p>
    <w:p>
      <w:pPr>
        <w:pStyle w:val="Heading4"/>
        <w:ind w:hanging="0" w:start="0"/>
        <w:rPr/>
      </w:pPr>
      <w:r>
        <w:rPr/>
        <w:t>Seller is not, nor will it be as a result of the execution and delivery of this Agreement or the performance of its obligations under this Agreement, in breach of any license, sublicense or other agreement relating to the Intellectual Property Rights or Third Party Intellectual Property Rights with respect to the Intellectual Property Rights or the Purchased Assets or Software.</w:t>
      </w:r>
    </w:p>
    <w:p>
      <w:pPr>
        <w:pStyle w:val="Heading4"/>
        <w:ind w:hanging="0" w:start="0"/>
        <w:rPr/>
      </w:pPr>
      <w:r>
        <w:rPr/>
        <w:t xml:space="preserve">All patents, registered trademarks, service marks and copyrights held by Seller, as identified in </w:t>
      </w:r>
      <w:r>
        <w:rPr>
          <w:u w:val="single"/>
        </w:rPr>
        <w:t>Schedule 2.1(g)(ii)</w:t>
      </w:r>
      <w:r>
        <w:rPr/>
        <w:t>, with respect to the Purchased Assets or Software, are valid and subsisting.  Seller (i) has not been sued in any suit, action or proceeding which involves a claim of infringement of any patents, trademarks, service marks, copyrights or violation of any trade secret or other Third Party Intellectual Property Rights with respect to any Purchased Assets or Software; (ii) has no knowledge that the manufacturing, marketing, licensing, sale, or use of the Purchased Assets or Software infringes any patent, trademark, service mark, copyright, trade secret or other proprietary right of any third party; and (iii) has not brought and is not aware of the possible basis for bringing any action, suit or proceeding for infringement of the Intellectual Property Rights or breach of any license or agreement involving the Intellectual Property Rights against any third party with respect to the Purchased Assets or Software.</w:t>
      </w:r>
    </w:p>
    <w:p>
      <w:pPr>
        <w:pStyle w:val="Heading4"/>
        <w:ind w:hanging="0" w:start="0"/>
        <w:rPr/>
      </w:pPr>
      <w:r>
        <w:rPr/>
        <w:t>Seller has good and valid title to all of the Intellectual Property Rights with respect to the Purchased Assets or Software, free and clear of any and all encumbrances.  There are no other agreements whereby any rights in the Intellectual Property Rights have been granted or licensed to any third party.</w:t>
      </w:r>
    </w:p>
    <w:p>
      <w:pPr>
        <w:pStyle w:val="Heading4"/>
        <w:ind w:hanging="0" w:start="0"/>
        <w:rPr/>
      </w:pPr>
      <w:r>
        <w:rPr/>
        <w:t>Seller has taken, and prior to Closing will continue to take, commercially reasonable efforts consistent with sound business practice and in particular with the protection of all Intellectual Property Rights in the Purchased Assets, including those consistent with the practices, policies and procedures Seller uses with respect to the protection of its own trade secrets, confidential information and intellectual property rights to protect and preserve the confidentiality of all Intellectual Property Rights with respect to the Purchased Assets or Software, not otherwise protected by patents, patent applications or copyright (collectively, “</w:t>
      </w:r>
      <w:r>
        <w:rPr>
          <w:u w:val="single"/>
        </w:rPr>
        <w:t>Confidential Information</w:t>
      </w:r>
      <w:r>
        <w:rPr/>
        <w:t xml:space="preserve">”).  All use, disclosure or appropriation of Confidential Information by Seller has been provided solely to Purchaser.  </w:t>
      </w:r>
    </w:p>
    <w:p>
      <w:pPr>
        <w:pStyle w:val="Heading4"/>
        <w:ind w:hanging="0" w:start="0"/>
        <w:rPr/>
      </w:pPr>
      <w:r>
        <w:rPr/>
        <w:t>Without limiting the generality of the foregoing:</w:t>
      </w:r>
    </w:p>
    <w:p>
      <w:pPr>
        <w:pStyle w:val="Heading5"/>
        <w:ind w:hanging="0" w:start="0"/>
        <w:rPr/>
      </w:pPr>
      <w:r>
        <w:rPr/>
        <w:t>Seller owns all right, title and interest in Intellectual Property Rights in the Software.  Seller is under no obligation to pay any other party any royalties or other fixed or contingent amounts with respect to the Software, including, but not limited to, any royalties or other fixed or contingent amounts based upon the sale, license, distribution or other use or exploitation of the Software.  Seller warrants, but only represents to the best of its knowledge after reasonable inquiry and including constructive notice, that the Purchased Assets, including the Software, do not infringe or conflict with any Third Party Intellectual Property Rights.  There are no pending or, to Seller’s knowledge, threatened claims against Seller alleging any of the foregoing, nor is Seller aware of any reasonable basis upon which any party might allege any of the foregoing.  Seller is not aware of any violation or infringement by a third party of any Intellectual Property Rights in the Software.</w:t>
      </w:r>
    </w:p>
    <w:p>
      <w:pPr>
        <w:pStyle w:val="Heading5"/>
        <w:ind w:hanging="0" w:start="0"/>
        <w:rPr/>
      </w:pPr>
      <w:r>
        <w:rPr/>
        <w:t>No current or former employee or consultant of Seller owns any Intellectual Property Rights in the Software or any other Intellectual Property Rights competitive with those in the Software.</w:t>
      </w:r>
    </w:p>
    <w:p>
      <w:pPr>
        <w:pStyle w:val="Heading5"/>
        <w:ind w:hanging="0" w:start="0"/>
        <w:rPr/>
      </w:pPr>
      <w:r>
        <w:rPr/>
        <w:t>All Intellectual Property Rights in the Software of any predecessor to Seller, whether or not a natural person, a limited or general partnership, company, corporation or other form of business entity, have been validly transferred to Seller free of any adverse claims by any such predecessor, or any partner, limited partner, security holder or creditor of any such predecessor, and no such property rights remain in any such entity or person.</w:t>
      </w:r>
    </w:p>
    <w:p>
      <w:pPr>
        <w:pStyle w:val="Heading5"/>
        <w:ind w:hanging="0" w:start="0"/>
        <w:rPr/>
      </w:pPr>
      <w:r>
        <w:rPr/>
        <w:t>With respect to the transfer of rights in the Software under this Agreement, Purchaser will be subject to no limitations, obligations or restrictions with regard to the sale, license, distribution or other transfer or exploitation of the Software, whether in the form transferred to Purchaser or after modification, including, but not limited to, any of the foregoing arising out of any distribution, license or other agreements previously entered into by Seller or any of its affiliates.</w:t>
      </w:r>
    </w:p>
    <w:p>
      <w:pPr>
        <w:pStyle w:val="Heading5"/>
        <w:ind w:hanging="0" w:start="0"/>
        <w:rPr/>
      </w:pPr>
      <w:r>
        <w:rPr/>
        <w:t xml:space="preserve">The Software operates and functions in Seller’s computing environment, and after purchase by Purchaser Seller knows of no reason why the Software would not continue to operate and function, in the manner and with the functionality set forth in </w:t>
      </w:r>
      <w:r>
        <w:rPr>
          <w:u w:val="single"/>
        </w:rPr>
        <w:t>Schedule 1.1(a)(ii)</w:t>
      </w:r>
      <w:r>
        <w:rPr/>
        <w:t xml:space="preserve"> hereto.</w:t>
      </w:r>
    </w:p>
    <w:p>
      <w:pPr>
        <w:pStyle w:val="Heading3"/>
        <w:ind w:hanging="0" w:start="0"/>
        <w:rPr/>
      </w:pPr>
      <w:r>
        <w:rPr>
          <w:u w:val="single"/>
        </w:rPr>
        <w:t>Contracts Related To the Purchased Assets</w:t>
      </w:r>
      <w:r>
        <w:rPr/>
        <w:t xml:space="preserve">.  </w:t>
      </w:r>
      <w:r>
        <w:rPr>
          <w:u w:val="single"/>
        </w:rPr>
        <w:t>Schedule 2.1(h)</w:t>
      </w:r>
      <w:r>
        <w:rPr/>
        <w:t xml:space="preserve"> hereto contains a list of all of Seller’s contracts granting any rights in or to, or otherwise relating to, any of the Purchased Assets (including, but not limited to, rights to distribute, license, sublicense or copy the Software, but not including standard form non-assignable end-user licenses granted by Seller with respect to the Software) (the “</w:t>
      </w:r>
      <w:r>
        <w:rPr>
          <w:u w:val="single"/>
        </w:rPr>
        <w:t>Contracts</w:t>
      </w:r>
      <w:r>
        <w:rPr/>
        <w:t>”).  Seller has supplied Purchaser true, correct and complete copies of all of the Contracts.  To the knowledge of Seller, each of the Contracts is valid, binding and in full force and effect in all material respects and enforceable by Seller in accordance with its terms, subject to the effect of applicable bankruptcy, insolvency, reorganization, moratorium or other laws of general application relating to or affecting enforcement of creditors’ rights and rules or laws concerning equitable remedies.  Seller is not in default in any material respect under any of the Contracts.  To the knowledge of Seller, no other party to any of the Contracts is in default in any material respect thereunder.  Seller has not made any warranties to any third parties with respect to the Software.</w:t>
      </w:r>
    </w:p>
    <w:p>
      <w:pPr>
        <w:pStyle w:val="Heading3"/>
        <w:ind w:hanging="0" w:start="0"/>
        <w:rPr/>
      </w:pPr>
      <w:r>
        <w:rPr>
          <w:u w:val="single"/>
        </w:rPr>
        <w:t>Manufacturing And Technology Rights</w:t>
      </w:r>
      <w:r>
        <w:rPr/>
        <w:t>.  Seller has not granted rights to manufacture, produce, assemble, license, distribute or sell the Software to any other person and is not bound by any agreement which affects Seller’s exclusive right to manufacture, assemble or sell the Software.</w:t>
      </w:r>
    </w:p>
    <w:p>
      <w:pPr>
        <w:pStyle w:val="Heading3"/>
        <w:ind w:hanging="0" w:start="0"/>
        <w:rPr/>
      </w:pPr>
      <w:r>
        <w:rPr>
          <w:u w:val="single"/>
        </w:rPr>
        <w:t>Product Versions</w:t>
      </w:r>
      <w:r>
        <w:rPr/>
        <w:t>.  Ownership of all copies of and rights to the Purchased Assets, including all current versions of the Software, will be transferred from Seller to Purchaser at the Closing; all such copies in the possession of Seller or under its control will be transferred to Purchaser at the Closing; and neither Seller nor any third party under its control will retain any such copies.</w:t>
      </w:r>
    </w:p>
    <w:p>
      <w:pPr>
        <w:pStyle w:val="Heading3"/>
        <w:ind w:hanging="0" w:start="0"/>
        <w:rPr/>
      </w:pPr>
      <w:r>
        <w:rPr>
          <w:u w:val="single"/>
        </w:rPr>
        <w:t>Right, Title and Interest</w:t>
      </w:r>
      <w:r>
        <w:rPr/>
        <w:t>.  Seller is the lawful owner of the Purchased Assets pursuant to good and marketable title and has the complete and unrestricted power and the unqualified right to sell, transfer, assign and deliver to Purchaser the Purchased Assets, and to the extent they do not exist at Closing, the Deliverables when delivered.  The Purchased Assets will be transferred to Purchaser at the Closing free and clear of all encumbrances (including claims for taxes), rights to use or possess, other contractual restrictions and other charges, and, upon such transfer, Purchaser will be vested with good and marketable title to the Purchased Assets.</w:t>
      </w:r>
    </w:p>
    <w:p>
      <w:pPr>
        <w:pStyle w:val="Heading3"/>
        <w:ind w:hanging="0" w:start="0"/>
        <w:rPr/>
      </w:pPr>
      <w:r>
        <w:rPr>
          <w:u w:val="single"/>
        </w:rPr>
        <w:t>Warranties</w:t>
      </w:r>
      <w:r>
        <w:rPr/>
        <w:t>.  The Purchased Assets provided, transferred, conveyed or assigned hereunder are provided only with those representations and warranties set forth herein, and no additional warranties, express or implied under law, are provided hereunder.</w:t>
      </w:r>
    </w:p>
    <w:p>
      <w:pPr>
        <w:pStyle w:val="Heading3"/>
        <w:ind w:hanging="0" w:start="0"/>
        <w:rPr/>
      </w:pPr>
      <w:r>
        <w:rPr>
          <w:u w:val="single"/>
        </w:rPr>
        <w:t>Representations Complete</w:t>
      </w:r>
      <w:r>
        <w:rPr/>
        <w:t>.  None of the representations or warranties made by Seller herein or in any Transaction Documents to which it is a party or in any certificate or other instrument furnished by Seller pursuant to this Agreement or any Transaction Document, when all such documents are read together in their entirety, contains or will contain as of the Closing any untrue statement of a material fact, or omits or will omit as of the Closing to state any material fact necessary in order to make the statements contained herein or therein, in the light of the circumstances under which made, not misleading.</w:t>
      </w:r>
    </w:p>
    <w:p>
      <w:pPr>
        <w:pStyle w:val="Heading2"/>
        <w:ind w:hanging="0" w:start="0"/>
        <w:rPr/>
      </w:pPr>
      <w:r>
        <w:rPr/>
        <w:t>Seller’s assignee with respect to the Warrant, Enron Net Works, represents and warrants to Purchaser as of the date hereof that:</w:t>
      </w:r>
    </w:p>
    <w:p>
      <w:pPr>
        <w:pStyle w:val="Heading3"/>
        <w:ind w:hanging="0" w:start="0"/>
        <w:rPr/>
      </w:pPr>
      <w:r>
        <w:rPr>
          <w:u w:val="single"/>
        </w:rPr>
        <w:t>Investment Intent</w:t>
      </w:r>
      <w:r>
        <w:rPr/>
        <w:t>.  The Warrant to be issued hereunder and the shares of Common Stock to be received upon exercise thereof (collectively, the “</w:t>
      </w:r>
      <w:r>
        <w:rPr>
          <w:u w:val="single"/>
        </w:rPr>
        <w:t>Securities</w:t>
      </w:r>
      <w:r>
        <w:rPr/>
        <w:t>”) will be acquired for investment for Enron Net Works’s own account, not as a nominee or agent, and not with a view to the resale or distribution of any part thereof, and Enron Net Works has no present intention of selling, granting any participation in, or otherwise distributing the same.  By executing this Agreement, Enron Net Works further represents that it does not have any contract, undertaking, agreement or arrangement with any person to sell, transfer or grant a participation to such person or to any third person, with respect to any of the Securities.</w:t>
      </w:r>
    </w:p>
    <w:p>
      <w:pPr>
        <w:pStyle w:val="Heading3"/>
        <w:ind w:hanging="0" w:start="0"/>
        <w:rPr/>
      </w:pPr>
      <w:r>
        <w:rPr>
          <w:u w:val="single"/>
        </w:rPr>
        <w:t>Investment Experience</w:t>
      </w:r>
      <w:r>
        <w:rPr/>
        <w:t xml:space="preserve">.  Enron Net Works acknowledges that it is able to fend for itself, can bear the economic risk of this investment and has such knowledge and experience in financial and business matters that it is capable of evaluating the merits and risks of the investment in the Securities.  </w:t>
      </w:r>
    </w:p>
    <w:p>
      <w:pPr>
        <w:pStyle w:val="Heading3"/>
        <w:ind w:hanging="0" w:start="0"/>
        <w:rPr/>
      </w:pPr>
      <w:r>
        <w:rPr>
          <w:u w:val="single"/>
        </w:rPr>
        <w:t>Access to Information</w:t>
      </w:r>
      <w:r>
        <w:rPr/>
        <w:t>.  Enron Net Works has had ample opportunity to evaluate Purchaser’s business affairs and condition and has had access to Purchaser’s books and records and all other documents and information it deems relevant in making an investment in Purchaser.  The foregoing, however, does not limit or modify the representations and warranties of Purchaser contained in the Transaction Documents or the right of Enron Net Works to rely thereon.</w:t>
      </w:r>
    </w:p>
    <w:p>
      <w:pPr>
        <w:pStyle w:val="Heading3"/>
        <w:ind w:hanging="0" w:start="0"/>
        <w:rPr/>
      </w:pPr>
      <w:r>
        <w:rPr>
          <w:u w:val="single"/>
        </w:rPr>
        <w:t>Accredited Investor</w:t>
      </w:r>
      <w:r>
        <w:rPr/>
        <w:t>.  Enron Net Works is an “</w:t>
      </w:r>
      <w:r>
        <w:rPr>
          <w:u w:val="single"/>
        </w:rPr>
        <w:t>accredited investor</w:t>
      </w:r>
      <w:r>
        <w:rPr/>
        <w:t>” within the meaning of Securities and Exchange Commission (“</w:t>
      </w:r>
      <w:r>
        <w:rPr>
          <w:u w:val="single"/>
        </w:rPr>
        <w:t>SEC</w:t>
      </w:r>
      <w:r>
        <w:rPr/>
        <w:t>”) Rule 501 of Regulation D, as presently in effect.</w:t>
      </w:r>
    </w:p>
    <w:p>
      <w:pPr>
        <w:pStyle w:val="Heading3"/>
        <w:ind w:hanging="0" w:start="0"/>
        <w:rPr/>
      </w:pPr>
      <w:r>
        <w:rPr>
          <w:u w:val="single"/>
        </w:rPr>
        <w:t>Restricted Securities</w:t>
      </w:r>
      <w:r>
        <w:rPr/>
        <w:t>.  Enron Net Works understands that the Securities will be characterized as “restricted securities” under the federal securities laws inasmuch as they are being acquired from Purchaser in a transaction not involving a public offering and that under such laws and applicable regulations the Securities may be resold without registration under the Securities Act of 1933, as amended (the “</w:t>
      </w:r>
      <w:r>
        <w:rPr>
          <w:u w:val="single"/>
        </w:rPr>
        <w:t>Securities Act</w:t>
      </w:r>
      <w:r>
        <w:rPr/>
        <w:t xml:space="preserve">”) only in certain limited circumstances.  In this connection, Enron Net Works represents that it is familiar with Rule 144 as promulgated by the SEC under the Securities Act, as presently in effect, and understands the resale limitations imposed thereby and by the Securities Act. </w:t>
      </w:r>
    </w:p>
    <w:p>
      <w:pPr>
        <w:pStyle w:val="Heading3"/>
        <w:ind w:hanging="0" w:start="0"/>
        <w:rPr/>
      </w:pPr>
      <w:r>
        <w:rPr>
          <w:u w:val="single"/>
        </w:rPr>
        <w:t>No Public Market</w:t>
      </w:r>
      <w:r>
        <w:rPr/>
        <w:t>.  Enron Net Works understands that no public market now exists for any of the Securities issued by Purchaser, and that Purchaser has made no assurances that a public market will ever exist for the Securities.</w:t>
      </w:r>
    </w:p>
    <w:p>
      <w:pPr>
        <w:pStyle w:val="Heading3"/>
        <w:ind w:hanging="0" w:start="0"/>
        <w:rPr/>
      </w:pPr>
      <w:r>
        <w:rPr>
          <w:u w:val="single"/>
        </w:rPr>
        <w:t>Further Limitations on Disposition</w:t>
      </w:r>
      <w:r>
        <w:rPr/>
        <w:t>.  Without any way limiting the representations set forth above, Enron Net Works further agrees not to make any disposition of all or any portion of the Securities unless and until the transferee has agreed in writing for the benefit of Purchaser to be bound by Section 2.2(e) and this Section 2.2(f) to the extent such sections are then applicable, and:</w:t>
      </w:r>
    </w:p>
    <w:p>
      <w:pPr>
        <w:pStyle w:val="Heading4"/>
        <w:ind w:hanging="0" w:start="0"/>
        <w:rPr/>
      </w:pPr>
      <w:r>
        <w:rPr/>
        <w:t>There is then in effect a registration statement under the Securities Act covering such proposed disposition and such disposition is made in accordance with such registration statement; or</w:t>
      </w:r>
    </w:p>
    <w:p>
      <w:pPr>
        <w:pStyle w:val="Heading4"/>
        <w:ind w:hanging="0" w:start="0"/>
        <w:rPr/>
      </w:pPr>
      <w:r>
        <w:rPr/>
        <w:t>(A)  Enron Net Works shall have notified Purchaser of the proposed disposition and shall have furnished Purchaser with a detailed statement of the circumstances surrounding the proposed disposition, and (B) Enron Net Works shall have furnished Purchaser with an opinion of counsel, reasonably satisfactory to Purchaser that such disposition will not require registration of such shares under the Securities Act.  It is agreed that Purchaser will not require opinions of counsel for transactions made pursuant to  Rule 144, except in unusual circumstances.</w:t>
      </w:r>
    </w:p>
    <w:p>
      <w:pPr>
        <w:pStyle w:val="BodyText"/>
        <w:rPr/>
      </w:pPr>
      <w:r>
        <w:rPr/>
        <w:t>Notwithstanding the provisions of paragraphs (a) and (b) above, no such registration statement or opinion of counsel shall be necessary for a transfer to a subsidiary or affiliated entity to Enron Net Works, provided  that the transferee agrees in writing to be subject to the terms hereof to the same extent as if he, she or it were the original party hereto.</w:t>
      </w:r>
    </w:p>
    <w:p>
      <w:pPr>
        <w:pStyle w:val="Heading3"/>
        <w:ind w:hanging="0" w:start="0"/>
        <w:rPr/>
      </w:pPr>
      <w:r>
        <w:rPr>
          <w:u w:val="single"/>
        </w:rPr>
        <w:t>Legends</w:t>
      </w:r>
      <w:r>
        <w:rPr/>
        <w:t xml:space="preserve">. It is understood that the certificates evidencing the Securities shall bear one or all of the following legends: </w:t>
      </w:r>
    </w:p>
    <w:p>
      <w:pPr>
        <w:pStyle w:val="BlockText2"/>
        <w:rPr/>
      </w:pPr>
      <w:r>
        <w:rPr/>
        <w:t>(i)</w:t>
        <w:tab/>
        <w:t>THE SECURITIES REPRESENTED BY THIS CERTIFICATE HAVE NOT BEEN REGISTERED UNDER THE SECURITIES ACT OF 1933, AS AMENDED, OR ANY STATE SECURITIES LAWS (COLLECTIVELY, THE “ACTS”).  THE SECURITIES HAVE BEEN ACQUIRED FOR INVESTMENT AND MAY NOT BE OFFERED, SOLD OR OTHERWISE TRANSFERRED, PLEDGED OR HYPOTHECATED IN THE ABSENCE OF AN EFFECTIVE REGISTRATION STATEMENT FOR THE SECURITIES UNDER THE ACTS OR AN OPINION OF COUNSEL SATISFACTORY TO THE CORPORATION THAT REGISTRATION UNDER SUCH ACTS IS NOT REQUIRED.</w:t>
      </w:r>
    </w:p>
    <w:p>
      <w:pPr>
        <w:pStyle w:val="BlockText2"/>
        <w:rPr/>
      </w:pPr>
      <w:r>
        <w:rPr/>
        <w:t>(ii)</w:t>
        <w:tab/>
        <w:t>Any legend required by the laws of the State of Delaware, or any other applicable jurisdiction.</w:t>
      </w:r>
    </w:p>
    <w:p>
      <w:pPr>
        <w:pStyle w:val="Heading3"/>
        <w:ind w:hanging="0" w:start="0"/>
        <w:rPr/>
      </w:pPr>
      <w:r>
        <w:rPr>
          <w:u w:val="single"/>
        </w:rPr>
        <w:t>No Brokers or Finders</w:t>
      </w:r>
      <w:r>
        <w:rPr/>
        <w:t>.  Enron Net Works has not incurred and will not incur, directly or indirectly, as a result of any action taken or permitted to be taken by or on behalf of Enron Net Works, any liability for brokerage or finders’ fees or agents’ commissions or similar charges in connection with the execution and performance of the transactions contemplated by this Agreement.</w:t>
      </w:r>
    </w:p>
    <w:p>
      <w:pPr>
        <w:pStyle w:val="Heading3"/>
        <w:ind w:hanging="0" w:start="0"/>
        <w:rPr/>
      </w:pPr>
      <w:r>
        <w:rPr>
          <w:u w:val="single"/>
        </w:rPr>
        <w:t>Representations Complete</w:t>
      </w:r>
      <w:r>
        <w:rPr/>
        <w:t>.  None of the representations or warranties made by Enron Net Works herein or in any Transaction Documents to which it is a party or in any certificate or other instrument furnished by Enron Net Works pursuant to this Agreement or any Transaction Document, when all such documents are read together in their entirety, contains or will contain as of the Closing any untrue statement of a material fact, or omits or will omit as of the Closing to state any material fact necessary in order to make the statements contained herein or therein, in the light of the circumstances under which made, not misleading.</w:t>
      </w:r>
    </w:p>
    <w:p>
      <w:pPr>
        <w:pStyle w:val="Heading1"/>
        <w:ind w:hanging="0" w:start="0"/>
        <w:rPr/>
      </w:pPr>
      <w:r>
        <w:rPr/>
        <w:br/>
        <w:t>REPRESENTATIONS AND WARRANTIES OF PURCHASER</w:t>
      </w:r>
    </w:p>
    <w:p>
      <w:pPr>
        <w:pStyle w:val="BodyText"/>
        <w:rPr/>
      </w:pPr>
      <w:r>
        <w:rPr/>
        <w:t>Purchaser hereby represents and warrants as of the date hereof as follows:</w:t>
      </w:r>
    </w:p>
    <w:p>
      <w:pPr>
        <w:pStyle w:val="Heading2"/>
        <w:ind w:hanging="0" w:start="0"/>
        <w:rPr/>
      </w:pPr>
      <w:r>
        <w:rPr>
          <w:u w:val="single"/>
        </w:rPr>
        <w:t>Organization; Standing and Power</w:t>
      </w:r>
      <w:r>
        <w:rPr/>
        <w:t>.  Purchaser is a corporation duly organized, validly existing and in good standing under the laws of the State of Delaware and has all requisite power and authority to own, operate and lease its properties and to carry on its business as now being conducted.  Purchaser is duly qualified to transact business and is in good standing in the states of Ohio and Texas and in each jurisdiction in which the failure to so qualify would have a material adverse effect on its respective financial condition, business, operations or properties.</w:t>
      </w:r>
    </w:p>
    <w:p>
      <w:pPr>
        <w:pStyle w:val="Heading2"/>
        <w:ind w:hanging="0" w:start="0"/>
        <w:rPr/>
      </w:pPr>
      <w:r>
        <w:rPr>
          <w:u w:val="single"/>
        </w:rPr>
        <w:t>Authority; Enforceability</w:t>
      </w:r>
      <w:r>
        <w:rPr/>
        <w:t>.  Purchaser has all requisite power and authority to execute and deliver this Agreement and the Transaction Documents to which it is a party to and to perform its obligations hereunder and to consummate the transactions contemplated hereby, and all action required on the part of Purchaser for such execution, delivery and performance has been duly and validly taken (including, without limitation, the authorization, issuance, reservation for issuance, sale and delivery of the Warrant being delivered hereunder and the Common Stock issuable upon the exercise of the Warrant).  Assuming due execution and delivery by Seller, this Agreement and each of the Transaction Documents to which it is a party constitutes the legal, valid and binding obligation of Purchaser enforceable against Purchaser in accordance with its terms subject, as to enforcement of remedies, to applicable bankruptcy, insolvency, moratorium, reorganization or similar laws affecting creditors’ rights generally and to general equitable principles.</w:t>
      </w:r>
    </w:p>
    <w:p>
      <w:pPr>
        <w:pStyle w:val="Heading2"/>
        <w:ind w:hanging="0" w:start="0"/>
        <w:rPr/>
      </w:pPr>
      <w:r>
        <w:rPr>
          <w:u w:val="single"/>
        </w:rPr>
        <w:t>No Conflicts</w:t>
      </w:r>
      <w:r>
        <w:rPr/>
        <w:t xml:space="preserve">.  The execution and delivery by Purchaser of this Agreement and each of the Transaction Documents to which it is a party does not, the performance and consummation by Purchaser of the transactions contemplated hereby and thereby will not, conflict with or result in a breach or violation of, or default under, or give rise to any right of acceleration or termination of, any of the terms, conditions or provisions of any note, bond, lease, license, agreement or other material instrument or obligation to which Purchaser is a party or by which Purchaser’s assets or properties are bound; or violate any law, rule or regulation applicable to Purchaser or any of Purchaser’s assets or properties.  </w:t>
      </w:r>
    </w:p>
    <w:p>
      <w:pPr>
        <w:pStyle w:val="Heading2"/>
        <w:ind w:hanging="0" w:start="0"/>
        <w:rPr/>
      </w:pPr>
      <w:r>
        <w:rPr>
          <w:u w:val="single"/>
        </w:rPr>
        <w:t>No Defaults</w:t>
      </w:r>
      <w:r>
        <w:rPr/>
        <w:t>.  Purchaser is not (a) in violation of any provision of its organizational documents, or (b) in default or violation of any term, condition or provision of (i) any judicial or governmental decree or order applicable to Purchaser or (ii) any agreement, note, contract, lease or instrument, permit or license to which Purchaser is a party, which in any of the cases set forth in clauses (a) and (b) above would adversely affect its ability to consummate the transactions contemplated hereby.</w:t>
      </w:r>
    </w:p>
    <w:p>
      <w:pPr>
        <w:pStyle w:val="Heading2"/>
        <w:ind w:hanging="0" w:start="0"/>
        <w:rPr/>
      </w:pPr>
      <w:r>
        <w:rPr>
          <w:u w:val="single"/>
        </w:rPr>
        <w:t>Consents and Approvals</w:t>
      </w:r>
      <w:r>
        <w:rPr/>
        <w:t>.  Other than filings that are required or permitted to be made by Purchaser pursuant to federal or state securities laws after the Closing (which Purchaser will make within the applicable deadline) and the consent of the board of directors of Purchaser (which consent has previously been obtained), no approval, consent, waiver or authorization of, or registration, declaration or filing with, exemption by or any notice to any governmental body or other third party is required to be made, obtained or given by Purchaser (other than consents necessary to amend the Investors’ Rights Agreement dated as of August 29, 2000, by and among Purchaser and certain of its stockholders (the “</w:t>
      </w:r>
      <w:r>
        <w:rPr>
          <w:u w:val="single"/>
        </w:rPr>
        <w:t>Investors’ Rights Agreement</w:t>
      </w:r>
      <w:r>
        <w:rPr/>
        <w:t>”) to add the “Warrant Shares” as “Registrable Securities” pursuant to Section 5.2(e) hereof):  (a) for or in connection with the valid execution and delivery by Purchaser of this Agreement or the other Transaction Documents to which it is a party or the consummation by Purchaser of the transactions contemplated hereby and thereby, (b) for or in connection with the sale, transfer, assignment, conveyance, or delivery of the Purchased Assets, including the Software to Purchaser, (c) for or in connection with the issuance and delivery of the Warrant or the Common Stock issuable upon the exercise of the Warrant; or (d) as a condition to the legality, validity or enforceability as against Purchaser of this Agreement or the other Transaction Documents.</w:t>
      </w:r>
    </w:p>
    <w:p>
      <w:pPr>
        <w:pStyle w:val="Heading2"/>
        <w:ind w:hanging="0" w:start="0"/>
        <w:rPr/>
      </w:pPr>
      <w:r>
        <w:rPr>
          <w:u w:val="single"/>
        </w:rPr>
        <w:t>Legal Proceedings</w:t>
      </w:r>
      <w:r>
        <w:rPr/>
        <w:t>.  There is no (a) action, suit, claim, proceeding or investigation pending or, to the knowledge of Seller, threatened at law or in equity, or before or by any governmental body, (b) arbitration proceeding or (c) governmental inquiry pending or, to the knowledge of Seller, in a matter that would materially and adversely affect its ability to perform its obligations under this Agreement or any Transaction Documents to which it is a party, and Seller knows of no reasonable basis for any of the foregoing.</w:t>
      </w:r>
    </w:p>
    <w:p>
      <w:pPr>
        <w:pStyle w:val="Heading2"/>
        <w:ind w:hanging="0" w:start="0"/>
        <w:rPr/>
      </w:pPr>
      <w:r>
        <w:rPr>
          <w:u w:val="single"/>
        </w:rPr>
        <w:t>Valid Issuance of Warrant and Common Stock</w:t>
      </w:r>
      <w:r>
        <w:rPr/>
        <w:t>.  The Warrant being issued to Seller hereunder has been duly authorized by all necessary corporate action on behalf of Seller and when issued and delivered in accordance with the terms of this Agreement will be free of restrictions on transfer other than restrictions on transfer under applicable federal and state securities laws, the Investors’ Rights Agreement, and each of those certain Voting Agreement (the “</w:t>
      </w:r>
      <w:r>
        <w:rPr>
          <w:u w:val="single"/>
        </w:rPr>
        <w:t>Voting Agreement</w:t>
      </w:r>
      <w:r>
        <w:rPr/>
        <w:t>”) and First Refusal and Co-Sale Agreement (the “</w:t>
      </w:r>
      <w:r>
        <w:rPr>
          <w:u w:val="single"/>
        </w:rPr>
        <w:t>First Refusal Agreement</w:t>
      </w:r>
      <w:r>
        <w:rPr/>
        <w:t>”), each dated as of August 29, 2000, by and among Purchaser and certain of its stockholders (the Investors’ Rights Agreement, Voting Agreement and First Refusal Agreement are sometimes collectively referred to herein as the “</w:t>
      </w:r>
      <w:r>
        <w:rPr>
          <w:u w:val="single"/>
        </w:rPr>
        <w:t>Series C Agreements</w:t>
      </w:r>
      <w:r>
        <w:rPr/>
        <w:t>”). The shares of Common Stock issuable upon the exercise of the Warrant have been duly and validly reserved for issuance and, upon exercise of the Warrant in accordance with these terms, will be duly and validly issued, fully paid and nonassessable shares of Purchaser’s capital stock, and will be free of restrictions on transfer other than restrictions on transfer under applicable state and federal securities laws and under the Series C Agreements.</w:t>
      </w:r>
    </w:p>
    <w:p>
      <w:pPr>
        <w:pStyle w:val="Heading2"/>
        <w:ind w:hanging="0" w:start="0"/>
        <w:rPr/>
      </w:pPr>
      <w:r>
        <w:rPr>
          <w:u w:val="single"/>
        </w:rPr>
        <w:t>No Brokers or Finders</w:t>
      </w:r>
      <w:r>
        <w:rPr/>
        <w:t>.  Purchaser has not incurred and will not incur, directly or indirectly, as a result of any action taken or permitted to be taken by or on behalf of Purchaser, any liability for brokerage or finders’ fees or agents’ commissions or similar charges in connection with the execution and performance of the transactions contemplated by this Agreement.</w:t>
      </w:r>
    </w:p>
    <w:p>
      <w:pPr>
        <w:pStyle w:val="Heading2"/>
        <w:ind w:hanging="0" w:start="0"/>
        <w:rPr/>
      </w:pPr>
      <w:r>
        <w:rPr>
          <w:u w:val="single"/>
        </w:rPr>
        <w:t>Representations Complete</w:t>
      </w:r>
      <w:r>
        <w:rPr/>
        <w:t>.  None of the representations or warranties made by Purchaser herein or in any Transaction Document or in any certificate or other instrument furnished by Purchaser pursuant to this Agreement or any Transaction Document, when all such documents are read together in their entirety, contains or will contain as of the Closing any untrue statement of a material fact, or omits or will omit as of the Closing to state any material fact necessary in order to make the statements contained herein or therein, in the light of the circumstances under which made, not misleading.</w:t>
      </w:r>
    </w:p>
    <w:p>
      <w:pPr>
        <w:pStyle w:val="Heading2"/>
        <w:ind w:hanging="0" w:start="0"/>
        <w:rPr/>
      </w:pPr>
      <w:r>
        <w:rPr>
          <w:u w:val="single"/>
        </w:rPr>
        <w:t>Corporate Documents</w:t>
      </w:r>
      <w:r>
        <w:rPr/>
        <w:t>.  The Second Amended and Restated Certificate of Incorporation and Amended and Restated Bylaws of Purchaser are in the form previously provided to Seller.</w:t>
      </w:r>
    </w:p>
    <w:p>
      <w:pPr>
        <w:pStyle w:val="Heading2"/>
        <w:ind w:hanging="0" w:start="0"/>
        <w:rPr/>
      </w:pPr>
      <w:r>
        <w:rPr>
          <w:u w:val="single"/>
        </w:rPr>
        <w:t>Capitalization and Voting Rights</w:t>
      </w:r>
      <w:r>
        <w:rPr/>
        <w:t>.  The capital stock of Purchaser consists, or will consist immediately prior to the Closing, of:</w:t>
      </w:r>
    </w:p>
    <w:p>
      <w:pPr>
        <w:pStyle w:val="Heading3"/>
        <w:ind w:hanging="0" w:start="0"/>
        <w:rPr/>
      </w:pPr>
      <w:r>
        <w:rPr>
          <w:u w:val="single"/>
        </w:rPr>
        <w:t>Preferred Stock</w:t>
      </w:r>
      <w:r>
        <w:rPr/>
        <w:t>.  40,000,000 shares of Preferred Stock, par value $0.01 per share (the “</w:t>
      </w:r>
      <w:r>
        <w:rPr>
          <w:u w:val="single"/>
        </w:rPr>
        <w:t>Preferred Stock</w:t>
      </w:r>
      <w:r>
        <w:rPr/>
        <w:t>”), of which (i) 5,693,677 shares have been designated as Series A Convertible Preferred Stock (the “</w:t>
      </w:r>
      <w:r>
        <w:rPr>
          <w:u w:val="single"/>
        </w:rPr>
        <w:t>Series A Preferred Stock</w:t>
      </w:r>
      <w:r>
        <w:rPr/>
        <w:t>”), all of which are issued and outstanding; (ii) 2,200,000 shares have been designated as Series B Convertible Preferred Stock (the “</w:t>
      </w:r>
      <w:r>
        <w:rPr>
          <w:u w:val="single"/>
        </w:rPr>
        <w:t>Series B Preferred Stock</w:t>
      </w:r>
      <w:r>
        <w:rPr/>
        <w:t>”), of which 2,133,363 shares are issued and outstanding; and (iii) 29,000,000 shares have been designated as Series C Convertible Preferred Stock (the “</w:t>
      </w:r>
      <w:r>
        <w:rPr>
          <w:u w:val="single"/>
        </w:rPr>
        <w:t>Series C Preferred Stock</w:t>
      </w:r>
      <w:r>
        <w:rPr/>
        <w:t xml:space="preserve">”), of which 27,811,009 shares are issued and outstanding prior to the Closing.  Except as set forth on </w:t>
      </w:r>
      <w:r>
        <w:rPr>
          <w:u w:val="single"/>
        </w:rPr>
        <w:t>Schedule 3.11(a)</w:t>
      </w:r>
      <w:r>
        <w:rPr/>
        <w:t xml:space="preserve">, all of the outstanding shares of Preferred Stock have been duly authorized and validly issued in compliance with all applicable laws and are fully paid and nonassessable.  </w:t>
      </w:r>
    </w:p>
    <w:p>
      <w:pPr>
        <w:pStyle w:val="Heading3"/>
        <w:ind w:hanging="0" w:start="0"/>
        <w:rPr/>
      </w:pPr>
      <w:r>
        <w:rPr>
          <w:u w:val="single"/>
        </w:rPr>
        <w:t>Common Stock</w:t>
      </w:r>
      <w:r>
        <w:rPr/>
        <w:t>.  70,000,000 shares of Common Stock, par value $0.01 per share, of which (A) 8,707,198 shares are outstanding, (B) 5,058,390 shares have been reserved for issuance pursuant to the exercise of options issued or issuable under Purchser’s 2000 Stock Option/Stock Issuance Plan (including the predecessor 1999 Stock Option Plan and 1999 Non-Employee Director Stock Option Plan, the “</w:t>
      </w:r>
      <w:r>
        <w:rPr>
          <w:u w:val="single"/>
        </w:rPr>
        <w:t>Option Plan</w:t>
      </w:r>
      <w:r>
        <w:rPr/>
        <w:t>”), (C) 5,693,677 shares have been reserved for issuance pursuant to the conversion of the Series A Preferred Stock, (D) 8,035,266 shares have been reserved for issuance pursuant to the conversion of the Series B Preferred Stock, (E) 29,000,000 shares have been reserved for issuance pursuant to the conversion of the Series C Preferred Stock and (F) 500,000 shares have been reserved for issuance pursuant to the exercise of the Warrant.  All outstanding shares of Common Stock have been duly authorized and validly issued in compliance with all applicable laws and are fully paid and nonassessable.</w:t>
      </w:r>
    </w:p>
    <w:p>
      <w:pPr>
        <w:pStyle w:val="Heading3"/>
        <w:ind w:hanging="0" w:start="0"/>
        <w:rPr/>
      </w:pPr>
      <w:r>
        <w:rPr>
          <w:u w:val="single"/>
        </w:rPr>
        <w:t>Other Rights</w:t>
      </w:r>
      <w:r>
        <w:rPr/>
        <w:t>.  Except for (A) the conversion privileges of the Series A Preferred Stock, Series B Preferred Stock, and Series C Preferred Stock, (B) the rights provided in Article III of the Investors’ Rights Agreement, (C) the rights provided in the First Refusal Agreement and (D) currently outstanding stock options to purchase 2,985,797 shares of Common Stock granted to employees, directors and other service providers under the Option Plan and its predecessor plans, and the Warrant to purchase 500,000 shares of Common Stock to be issued pursuant to this Agreement, there are not outstanding any options, warrants, rights (including conversion or preemptive rights or rights of first refusal) or agreements for the purchase or acquisition from Purchaser of any shares of its capital stock or any securities convertible into or ultimately exchangeable or exercisable for any shares of Purchaser’s capital stock.  Except for the Voting Agreement, Purchaser is not a party or subject to any agreement or understanding, and, to Purchaser’s knowledge, there is no agreement or understanding between any persons and/or entities that affects or relates to the voting or giving of written consents with respect to any security or by a director of Purchaser</w:t>
      </w:r>
    </w:p>
    <w:p>
      <w:pPr>
        <w:pStyle w:val="Heading2"/>
        <w:ind w:hanging="0" w:start="0"/>
        <w:rPr/>
      </w:pPr>
      <w:r>
        <w:rPr>
          <w:u w:val="single"/>
        </w:rPr>
        <w:t>Registration Rights</w:t>
      </w:r>
      <w:r>
        <w:rPr/>
        <w:t>.  Except as provided in the Investors’ Rights Agreement, Purchaser has not granted or agreed to grant any registration rights, including piggyback rights, to any person or entity.</w:t>
      </w:r>
    </w:p>
    <w:p>
      <w:pPr>
        <w:pStyle w:val="Heading2"/>
        <w:ind w:hanging="0" w:start="0"/>
        <w:rPr/>
      </w:pPr>
      <w:r>
        <w:rPr>
          <w:u w:val="single"/>
        </w:rPr>
        <w:t>Securities Act</w:t>
      </w:r>
      <w:r>
        <w:rPr/>
        <w:t>.  Subject in part to the truth and accuracy of Seller’s representations set forth in Article II of this Agreement, the issuance and delivery of the Warrant as contemplated by this Agreement are exempt from the registration requirements of the Securities Act and any applicable state securities laws, and neither Purchaser nor any authorized agent acting on its behalf will take any action hereafter that would cause the loss of such exemption.</w:t>
      </w:r>
    </w:p>
    <w:p>
      <w:pPr>
        <w:pStyle w:val="Heading2"/>
        <w:ind w:hanging="0" w:start="0"/>
        <w:rPr>
          <w:u w:val="single"/>
        </w:rPr>
      </w:pPr>
      <w:r>
        <w:rPr>
          <w:u w:val="single"/>
        </w:rPr>
        <w:t>Amendment to Investors’ Rights Agreement</w:t>
      </w:r>
      <w:r>
        <w:rPr/>
        <w:t xml:space="preserve">.  The Amendment to Investors’ Rights Agreement, attached as </w:t>
      </w:r>
      <w:r>
        <w:rPr>
          <w:u w:val="single"/>
        </w:rPr>
        <w:t>Exhibit B</w:t>
      </w:r>
      <w:r>
        <w:rPr/>
        <w:t xml:space="preserve"> hereto, has been executed by the stockholders necessary to effect an amendment under the Investors’ Rights Agreement and will become effective as of the Closing.</w:t>
      </w:r>
    </w:p>
    <w:p>
      <w:pPr>
        <w:pStyle w:val="Heading1"/>
        <w:ind w:hanging="0" w:start="0"/>
        <w:rPr/>
      </w:pPr>
      <w:r>
        <w:rPr/>
        <w:br/>
        <w:t>COVENANTS</w:t>
      </w:r>
    </w:p>
    <w:p>
      <w:pPr>
        <w:pStyle w:val="Heading2"/>
        <w:ind w:hanging="0" w:start="0"/>
        <w:rPr/>
      </w:pPr>
      <w:r>
        <w:rPr>
          <w:u w:val="single"/>
        </w:rPr>
        <w:t>Expenses</w:t>
      </w:r>
      <w:r>
        <w:rPr/>
        <w:t>.  Whether or not the Transaction is consummated, all costs and expenses incurred in connection with this Agreement and the transactions contemplated hereby shall be paid by the party incurring such expense.</w:t>
      </w:r>
    </w:p>
    <w:p>
      <w:pPr>
        <w:pStyle w:val="Heading2"/>
        <w:ind w:hanging="0" w:start="0"/>
        <w:rPr/>
      </w:pPr>
      <w:r>
        <w:rPr>
          <w:u w:val="single"/>
        </w:rPr>
        <w:t>Further Assurances</w:t>
      </w:r>
      <w:r>
        <w:rPr/>
        <w:t>.  Purchaser and Seller each agree to take such further actions and execute such other documents as may be reasonably required to fulfill the conditions to Closing and, after the Closing, to fully effect the transactions contemplated hereby and further secure to each party the rights intended to be conferred hereby and the other agreements ancillary to the transactions contemplated hereby.</w:t>
      </w:r>
    </w:p>
    <w:p>
      <w:pPr>
        <w:pStyle w:val="Heading2"/>
        <w:ind w:hanging="0" w:start="0"/>
        <w:rPr/>
      </w:pPr>
      <w:r>
        <w:rPr>
          <w:u w:val="single"/>
        </w:rPr>
        <w:t>Deliverables</w:t>
      </w:r>
      <w:r>
        <w:rPr/>
        <w:t xml:space="preserve">.  As soon as practicable after the Closing, but in no event later than the earlier of each date set forth on the project plan with respect to the completing of the Deliverables, which plan is attached as </w:t>
      </w:r>
      <w:r>
        <w:rPr>
          <w:u w:val="single"/>
        </w:rPr>
        <w:t>Schedule 4.3(a)</w:t>
      </w:r>
      <w:r>
        <w:rPr/>
        <w:t xml:space="preserve"> hereto, with respect to any particular Deliverable or 120 days following the Closing Date, Seller shall, to the extent it does not currently exists, produce and deliver to Purchaser detailed documentation satisfactory to Purchaser, and conforming to the Enron EDI Technical Documentation Standards attached as </w:t>
      </w:r>
      <w:r>
        <w:rPr>
          <w:u w:val="single"/>
        </w:rPr>
        <w:t>Schedule 4.3(b)</w:t>
      </w:r>
      <w:r>
        <w:rPr/>
        <w:t xml:space="preserve"> hereto, setting forth the functional and technical specifications of the Software and certain other matters which Purchaser may reasonably request in order to facilitate Purchaser’s intention to ensure that the Software is portable and commercially re-marketable, whether such Deliverables are created by Seller or any of its third party contractors, including, but not limited to, EC Power (the “</w:t>
      </w:r>
      <w:r>
        <w:rPr>
          <w:u w:val="single"/>
        </w:rPr>
        <w:t>Deliverables</w:t>
      </w:r>
      <w:r>
        <w:rPr/>
        <w:t xml:space="preserve">”), including, but not limited to, the items listed on </w:t>
      </w:r>
      <w:r>
        <w:rPr>
          <w:u w:val="single"/>
        </w:rPr>
        <w:t>Schedules 4.3(a)</w:t>
      </w:r>
      <w:r>
        <w:rPr/>
        <w:t xml:space="preserve"> and </w:t>
      </w:r>
      <w:r>
        <w:rPr>
          <w:u w:val="single"/>
        </w:rPr>
        <w:t>4.3(b)</w:t>
      </w:r>
      <w:r>
        <w:rPr/>
        <w:t xml:space="preserve"> hereto.  Purchaser shall have the right to participate in and monitor the process of producing the Deliverables and Seller agrees to cooperate with Purchaser’s reasonable requests to modify the Deliverables for Purchaser’s use and satisfaction.  </w:t>
      </w:r>
    </w:p>
    <w:p>
      <w:pPr>
        <w:pStyle w:val="Heading2"/>
        <w:ind w:hanging="0" w:start="0"/>
        <w:rPr/>
      </w:pPr>
      <w:r>
        <w:rPr>
          <w:u w:val="single"/>
        </w:rPr>
        <w:t>Access to Seller’s Facilities</w:t>
      </w:r>
      <w:r>
        <w:rPr/>
        <w:t>.  Following the Closing, Purchaser shall have access to Seller’s facilities as necessary to access the Software consistent with Purchaser’s ownership thereof, subject to Purchaser’s compliance with Seller’s standard rules and regulations for the protection of confidential and trade secret information.  Immediately following the Closing, Seller shall deliver to Purchaser any identification or other access devices required for such access.</w:t>
      </w:r>
    </w:p>
    <w:p>
      <w:pPr>
        <w:pStyle w:val="Heading2"/>
        <w:ind w:hanging="0" w:start="0"/>
        <w:rPr/>
      </w:pPr>
      <w:r>
        <w:rPr>
          <w:u w:val="single"/>
        </w:rPr>
        <w:t>Public Disclosure</w:t>
      </w:r>
      <w:r>
        <w:rPr/>
        <w:t>.  Unless otherwise permitted by this Agreement, Purchaser and Seller shall consult with each other before issuing any press release or otherwise making any public statement or making any other public (or non-confidential) disclosure (whether or not in response to an inquiry) regarding the terms of this Agreement and the transactions contemplated hereby.  Neither party shall issue any such press release or make any such statement or disclosure without the prior approval of the other (which approval shall not be unreasonably withheld), except as may be required by law or required by Seller to comply with the rules and regulations of the SEC or New York Stock Exchange or to comply with disclosure obligations under applicable securities laws.</w:t>
      </w:r>
    </w:p>
    <w:p>
      <w:pPr>
        <w:pStyle w:val="Heading2"/>
        <w:ind w:hanging="0" w:start="0"/>
        <w:rPr/>
      </w:pPr>
      <w:r>
        <w:rPr>
          <w:u w:val="single"/>
        </w:rPr>
        <w:t>Protection of Purchased Assets Prior to Transfer</w:t>
      </w:r>
      <w:r>
        <w:rPr/>
        <w:t>.  Seller acknowledges that prior to the Closing it will not have been able to prepare and deliver to Purchaser the Purchased Assets, particularly the Software, in any tangible or electronic format.  As a result, until delivered pursuant to Section 4.3, Seller will hold in trust for Purchaser certain of the Purchased Assets, including the master copy of the Software, which the parties agree will continue to reside on the computer systems of Seller following the Closing and prior to the delivery of such Software pursuant to Section 4.3.  Seller agrees that it will hold the Purchased Assets in trust on behalf of Purchaser until such Purchased Assets are transferred to Purchaser, which transfer shall be effected in a manner and in a format specified by and reasonably acceptable to Purchaser as promptly as practicable but no later than five (5) business days after the Closing.  During any such period of time prior to the transfer of the Software, Seller shall use the highest degree of care to protect the Purchased Assets.  Until the Purchased Assets are physically transferred to Purchaser in accordance herewith, Seller shall bear all risk of loss related to any non-transferred Purchased Assets regardless of the manner in which such loss occurs, including, but not limited to, as a result of acts of God or war.</w:t>
      </w:r>
    </w:p>
    <w:p>
      <w:pPr>
        <w:pStyle w:val="Heading1"/>
        <w:ind w:hanging="0" w:start="0"/>
        <w:rPr/>
      </w:pPr>
      <w:r>
        <w:rPr/>
        <w:br/>
        <w:t>CONDITIONS TO CLOSING</w:t>
      </w:r>
    </w:p>
    <w:p>
      <w:pPr>
        <w:pStyle w:val="BodyText"/>
        <w:rPr/>
      </w:pPr>
      <w:r>
        <w:rPr/>
        <w:t>The obligations of the parties to effect the transactions contemplated hereby are subject to the satisfaction at or prior to the Closing of the following conditions:</w:t>
      </w:r>
    </w:p>
    <w:p>
      <w:pPr>
        <w:pStyle w:val="Heading2"/>
        <w:ind w:hanging="0" w:start="0"/>
        <w:rPr/>
      </w:pPr>
      <w:r>
        <w:rPr>
          <w:u w:val="single"/>
        </w:rPr>
        <w:t>Conditions to Obligations of Purchaser</w:t>
      </w:r>
      <w:r>
        <w:rPr/>
        <w:t>.</w:t>
      </w:r>
    </w:p>
    <w:p>
      <w:pPr>
        <w:pStyle w:val="Heading3"/>
        <w:ind w:hanging="0" w:start="0"/>
        <w:rPr/>
      </w:pPr>
      <w:r>
        <w:rPr>
          <w:u w:val="single"/>
        </w:rPr>
        <w:t>Representations, Warranties of Seller and Enron Net Works and Agreements of Seller</w:t>
      </w:r>
      <w:r>
        <w:rPr/>
        <w:t xml:space="preserve">.  All representations and warranties made herein by Seller and Enron Net Works shall be true as of the date made and shall be true and correct as if made again as of the Closing, and Seller shall have performed in all material respects all obligations and agreements undertaken by Seller herein to be performed at or prior to the Closing; and Purchaser shall have received certificates executed on behalf of each of Seller and Enron Net Works by an authorized officer to the foregoing effect.  </w:t>
      </w:r>
    </w:p>
    <w:p>
      <w:pPr>
        <w:pStyle w:val="Heading3"/>
        <w:ind w:hanging="0" w:start="0"/>
        <w:rPr/>
      </w:pPr>
      <w:r>
        <w:rPr>
          <w:u w:val="single"/>
        </w:rPr>
        <w:t>Third</w:t>
        <w:noBreakHyphen/>
        <w:t>Party Consents</w:t>
      </w:r>
      <w:r>
        <w:rPr/>
        <w:t xml:space="preserve">.  Any and all consents or waivers from the third parties and relating to this Agreement, the Purchased Assets or any of the other transactions contemplated hereby, including those set forth </w:t>
      </w:r>
      <w:r>
        <w:rPr>
          <w:u w:val="single"/>
        </w:rPr>
        <w:t>Schedule 5.1(b)</w:t>
      </w:r>
      <w:r>
        <w:rPr/>
        <w:t>, shall have been obtained.</w:t>
      </w:r>
    </w:p>
    <w:p>
      <w:pPr>
        <w:pStyle w:val="Heading3"/>
        <w:ind w:hanging="0" w:start="0"/>
        <w:rPr/>
      </w:pPr>
      <w:r>
        <w:rPr>
          <w:u w:val="single"/>
        </w:rPr>
        <w:t>Transfers of Purchased Assets</w:t>
      </w:r>
      <w:r>
        <w:rPr/>
        <w:t>.  At the Closing, Seller shall have delivered the following to Purchaser:</w:t>
      </w:r>
    </w:p>
    <w:p>
      <w:pPr>
        <w:pStyle w:val="Heading4"/>
        <w:ind w:hanging="0" w:start="0"/>
        <w:rPr/>
      </w:pPr>
      <w:r>
        <w:rPr/>
        <w:t xml:space="preserve">The Software and Documentation (as each such term is defined in </w:t>
      </w:r>
      <w:r>
        <w:rPr>
          <w:u w:val="single"/>
        </w:rPr>
        <w:t>Schedule 1.1(a)(i)</w:t>
      </w:r>
      <w:r>
        <w:rPr/>
        <w:t>), as such Documentation exists on the Closing Date, and any other Purchased Assets which exist at Closing, except that in the case of the Software and subject to Section 4.6, in lieu of delivery of physical media containing the Software, Seller shall have given Purchaser control over the Software consistent with its ownership thereof, including the access described under Section 4.4; and</w:t>
      </w:r>
    </w:p>
    <w:p>
      <w:pPr>
        <w:pStyle w:val="Heading4"/>
        <w:ind w:hanging="0" w:start="0"/>
        <w:rPr/>
      </w:pPr>
      <w:r>
        <w:rPr/>
        <w:t xml:space="preserve">A duly executed assignment of the Intellectual Property Rights and Customer Contracts included in the Purchased Assets in the form attached here to as </w:t>
      </w:r>
      <w:r>
        <w:rPr>
          <w:u w:val="single"/>
        </w:rPr>
        <w:t>Exhibit C</w:t>
      </w:r>
      <w:r>
        <w:rPr/>
        <w:t>.</w:t>
      </w:r>
    </w:p>
    <w:p>
      <w:pPr>
        <w:pStyle w:val="Heading3"/>
        <w:ind w:hanging="0" w:start="0"/>
        <w:rPr/>
      </w:pPr>
      <w:r>
        <w:rPr>
          <w:u w:val="single"/>
        </w:rPr>
        <w:t>Non-Competition Agreement</w:t>
      </w:r>
      <w:r>
        <w:rPr/>
        <w:t xml:space="preserve">.  Seller and Purchaser shall have entered into the Non-Competition Agreement, in substantially the form attached as </w:t>
      </w:r>
      <w:r>
        <w:rPr>
          <w:u w:val="single"/>
        </w:rPr>
        <w:t>Exhibit D</w:t>
      </w:r>
      <w:r>
        <w:rPr/>
        <w:t xml:space="preserve"> hereto (the “</w:t>
      </w:r>
      <w:r>
        <w:rPr>
          <w:u w:val="single"/>
        </w:rPr>
        <w:t>Non-Competition Agreement</w:t>
      </w:r>
      <w:r>
        <w:rPr/>
        <w:t>”).</w:t>
      </w:r>
    </w:p>
    <w:p>
      <w:pPr>
        <w:pStyle w:val="Heading3"/>
        <w:ind w:hanging="0" w:start="0"/>
        <w:rPr/>
      </w:pPr>
      <w:r>
        <w:rPr>
          <w:u w:val="single"/>
        </w:rPr>
        <w:t>Satisfactory Diligence</w:t>
      </w:r>
      <w:r>
        <w:rPr/>
        <w:t>.  Purchaser shall have concluded its due diligence investigation of Seller, the Purchased Assets, including the Software, and all other matters related to the foregoing, and shall be satisfied, in its absolute and sole discretion, with the results thereof.</w:t>
      </w:r>
    </w:p>
    <w:p>
      <w:pPr>
        <w:pStyle w:val="Heading3"/>
        <w:ind w:hanging="0" w:start="0"/>
        <w:rPr/>
      </w:pPr>
      <w:r>
        <w:rPr>
          <w:u w:val="single"/>
        </w:rPr>
        <w:t>No Actions or Proceedings</w:t>
      </w:r>
      <w:r>
        <w:rPr/>
        <w:t xml:space="preserve">.  No claim, action, suit, investigation or proceeding shall be pending or threatened before any court or governmental agency which presents a substantial risk of the restraint or prohibition of the transactions contemplated by this Agreement. </w:t>
      </w:r>
    </w:p>
    <w:p>
      <w:pPr>
        <w:pStyle w:val="Heading3"/>
        <w:ind w:hanging="0" w:start="0"/>
        <w:rPr/>
      </w:pPr>
      <w:r>
        <w:rPr>
          <w:u w:val="single"/>
        </w:rPr>
        <w:t>Government Approvals</w:t>
      </w:r>
      <w:r>
        <w:rPr/>
        <w:t>.  All authorizations, permits, consents, orders or approvals of, or declarations or filings with, or expiration of waiting periods imposed by, any governmental entity necessary for the consummation of the transactions contemplated by this Agreement shall have been filed, occurred or been obtained.</w:t>
      </w:r>
    </w:p>
    <w:p>
      <w:pPr>
        <w:pStyle w:val="Heading2"/>
        <w:ind w:hanging="0" w:start="0"/>
        <w:rPr/>
      </w:pPr>
      <w:r>
        <w:rPr>
          <w:u w:val="single"/>
        </w:rPr>
        <w:t>Conditions to Obligations of Seller</w:t>
      </w:r>
      <w:r>
        <w:rPr/>
        <w:t>.</w:t>
      </w:r>
    </w:p>
    <w:p>
      <w:pPr>
        <w:pStyle w:val="Heading3"/>
        <w:ind w:hanging="0" w:start="0"/>
        <w:rPr/>
      </w:pPr>
      <w:r>
        <w:rPr>
          <w:u w:val="single"/>
        </w:rPr>
        <w:t>Representations, Warranties and Agreements of Purchaser</w:t>
      </w:r>
      <w:r>
        <w:rPr/>
        <w:t xml:space="preserve">.  All representations and warranties made herein by Purchaser shall be true as of the date made and shall be true and correct as if made again as of the Closing, and Purchaser shall have performed in all material respects all obligations and agreements undertaken by Purchaser herein to be performed at or prior to the Closing; and Seller shall have received a certificate executed on behalf of Purchaser by its Chief Executive Officer to the foregoing effect.  </w:t>
      </w:r>
    </w:p>
    <w:p>
      <w:pPr>
        <w:pStyle w:val="Heading3"/>
        <w:ind w:hanging="0" w:start="0"/>
        <w:rPr/>
      </w:pPr>
      <w:r>
        <w:rPr>
          <w:u w:val="single"/>
        </w:rPr>
        <w:t>Third-Party Consents</w:t>
      </w:r>
      <w:r>
        <w:rPr/>
        <w:t>.  Any and all consents or waivers required from third parties relating to the performance by Purchaser of its obligations hereunder shall have been obtained.</w:t>
      </w:r>
    </w:p>
    <w:p>
      <w:pPr>
        <w:pStyle w:val="Heading3"/>
        <w:ind w:hanging="0" w:start="0"/>
        <w:rPr/>
      </w:pPr>
      <w:r>
        <w:rPr>
          <w:u w:val="single"/>
        </w:rPr>
        <w:t>Cash Consideration</w:t>
      </w:r>
      <w:r>
        <w:rPr/>
        <w:t>.  Purchaser shall have tendered the Closing Cash.</w:t>
      </w:r>
    </w:p>
    <w:p>
      <w:pPr>
        <w:pStyle w:val="Heading3"/>
        <w:ind w:hanging="0" w:start="0"/>
        <w:rPr/>
      </w:pPr>
      <w:r>
        <w:rPr>
          <w:u w:val="single"/>
        </w:rPr>
        <w:t>Warrant</w:t>
      </w:r>
      <w:r>
        <w:rPr/>
        <w:t>.  Purchaser shall have issued the Warrant to Seller.</w:t>
      </w:r>
    </w:p>
    <w:p>
      <w:pPr>
        <w:pStyle w:val="Heading3"/>
        <w:ind w:hanging="0" w:start="0"/>
        <w:rPr/>
      </w:pPr>
      <w:r>
        <w:rPr>
          <w:u w:val="single"/>
        </w:rPr>
        <w:t>Investors’ Rights Agreement</w:t>
      </w:r>
      <w:r>
        <w:rPr/>
        <w:t>.  Purchaser shall seek the consent of the holders of the requisite number of shares necessary to amend the Investors’ Rights Agreement to modify the definition of “Registrable Securities” in Section 1.1(g) thereof to include the shares of Common Stock issuable upon exercise of the Warrant.</w:t>
      </w:r>
    </w:p>
    <w:p>
      <w:pPr>
        <w:pStyle w:val="Heading3"/>
        <w:ind w:hanging="0" w:start="0"/>
        <w:rPr/>
      </w:pPr>
      <w:r>
        <w:rPr>
          <w:u w:val="single"/>
        </w:rPr>
        <w:t>No Actions or Proceedings</w:t>
      </w:r>
      <w:r>
        <w:rPr/>
        <w:t>.  No claim, action, suit, investigation or proceeding shall be pending or threatened before any court or governmental agency which presents a substantial risk of the restraint or prohibition of the transactions contemplated by this Agreement.</w:t>
      </w:r>
    </w:p>
    <w:p>
      <w:pPr>
        <w:pStyle w:val="Heading3"/>
        <w:ind w:hanging="0" w:start="0"/>
        <w:rPr/>
      </w:pPr>
      <w:r>
        <w:rPr>
          <w:u w:val="single"/>
        </w:rPr>
        <w:t>Government Approvals</w:t>
      </w:r>
      <w:r>
        <w:rPr/>
        <w:t>.  All authorizations, permits, consents, orders or approvals of, or declarations or filings with, or expiration of waiting periods imposed by, any governmental entity necessary for the consummation of the transactions contemplated by this Agreement shall have been filed, occurred or been obtained.</w:t>
      </w:r>
    </w:p>
    <w:p>
      <w:pPr>
        <w:pStyle w:val="Heading1"/>
        <w:ind w:hanging="0" w:start="0"/>
        <w:rPr/>
      </w:pPr>
      <w:r>
        <w:rPr/>
        <w:br/>
        <w:t>INDEMNIFICATION</w:t>
      </w:r>
    </w:p>
    <w:p>
      <w:pPr>
        <w:pStyle w:val="Heading2"/>
        <w:ind w:hanging="0" w:start="0"/>
        <w:rPr/>
      </w:pPr>
      <w:r>
        <w:rPr>
          <w:u w:val="single"/>
        </w:rPr>
        <w:t>Indemnification by Seller</w:t>
      </w:r>
      <w:r>
        <w:rPr/>
        <w:t>.</w:t>
      </w:r>
    </w:p>
    <w:p>
      <w:pPr>
        <w:pStyle w:val="Heading3"/>
        <w:ind w:hanging="0" w:start="0"/>
        <w:rPr/>
      </w:pPr>
      <w:r>
        <w:rPr/>
        <w:t xml:space="preserve">Seller shall be liable for, shall indemnify Purchaser, its officers, directors, affiliates and employees for, shall hold harmless, protect and defend Purchaser, its officers, directors, affiliates or employees from and against, and shall reimburse Purchaser, its officers, directors, affiliates and employees for, any and all Purchaser's Damages (as defined in Section 6.1(b)); </w:t>
      </w:r>
      <w:r>
        <w:rPr>
          <w:u w:val="single"/>
        </w:rPr>
        <w:t>provided</w:t>
      </w:r>
      <w:r>
        <w:rPr/>
        <w:t xml:space="preserve">, </w:t>
      </w:r>
      <w:r>
        <w:rPr>
          <w:u w:val="single"/>
        </w:rPr>
        <w:t>however</w:t>
      </w:r>
      <w:r>
        <w:rPr/>
        <w:t>, that Seller’s indemnity obligation shall not apply to that portion of any claim that ultimately requires reliance on modifications made by Purchaser after the Closing Date, unless such modification was made by Purchaser (or its agents) under Seller’s signed writing setting forth specific changes, in which case Seller’s foregoing indemnity obligation applies.</w:t>
      </w:r>
    </w:p>
    <w:p>
      <w:pPr>
        <w:pStyle w:val="Heading3"/>
        <w:ind w:hanging="0" w:start="0"/>
        <w:rPr/>
      </w:pPr>
      <w:r>
        <w:rPr/>
        <w:t>The term “</w:t>
      </w:r>
      <w:r>
        <w:rPr>
          <w:u w:val="single"/>
        </w:rPr>
        <w:t>Purchaser’s Damages</w:t>
      </w:r>
      <w:r>
        <w:rPr/>
        <w:t xml:space="preserve">” means all Damages (as defined below) sustained, incurred or suffered by Purchaser, its officers, directors, affiliates or employees resulting from or arising in connection with: (i) any misrepresentation or breach of warranty by Seller or Enron Net Works contained in or made pursuant to this Agreement, the other Transaction Documents or in any certificate, instrument or agreement delivered to Purchaser pursuant to or in connection with this Agreement or any of the Transaction Documents or any Schedule or Exhibit hereto or thereto; </w:t>
      </w:r>
      <w:r>
        <w:rPr>
          <w:u w:val="single"/>
        </w:rPr>
        <w:t>provided</w:t>
      </w:r>
      <w:r>
        <w:rPr/>
        <w:t xml:space="preserve"> that in the case of any Deliverables, Seller shall have been deemed to have made such representations and warranties again as of the date such Deliverables are delivered to Purchaser pursuant to Section 4.3; </w:t>
      </w:r>
      <w:r>
        <w:rPr>
          <w:u w:val="single"/>
        </w:rPr>
        <w:t>provided</w:t>
      </w:r>
      <w:r>
        <w:rPr/>
        <w:t xml:space="preserve">, </w:t>
      </w:r>
      <w:r>
        <w:rPr>
          <w:u w:val="single"/>
        </w:rPr>
        <w:t>however</w:t>
      </w:r>
      <w:r>
        <w:rPr/>
        <w:t>, if Purchaser makes modifications to the Deliverables without written authorization of Seller, then Seller shall not be deemed to be making representations and warranties with respect to such modifications; (ii)  any breach of warranty or any default in the performance of any covenant or obligation of Seller or Enron Net Works under or in connection with this Agreement or the other Transaction Documents; (iii) any liabilities and claims under any contract or agreement to which Seller is a party or is bound; (iv) any claim made by a third party alleging facts which, if true, would entitle Purchaser to indemnification pursuant to this Section; (v)  any claim made by a creditor of Seller under or as a result of Seller's non-compliance with the provisions of any applicable bulk transfer or sales tax law; or (vii)  any claim by a third party that arises from or relates to any liabilities or claims incurred by Seller or otherwise arising in connection with Seller's ownership of the Purchased Assets or Seller's conduct of business whether asserted before or after the Closing.</w:t>
      </w:r>
    </w:p>
    <w:p>
      <w:pPr>
        <w:pStyle w:val="Heading3"/>
        <w:ind w:hanging="0" w:start="0"/>
        <w:rPr/>
      </w:pPr>
      <w:r>
        <w:rPr/>
        <w:t>“</w:t>
      </w:r>
      <w:r>
        <w:rPr>
          <w:u w:val="single"/>
        </w:rPr>
        <w:t>Damages</w:t>
      </w:r>
      <w:r>
        <w:rPr/>
        <w:t>” means any and all damages, losses, liabilities, diminution of value, obligations, penalties, fines, claims, litigation, demands, defenses, judgments, suits, proceedings, costs, disbursements or expenses (including, without limitation, attorneys' and experts' fees and disbursements) of any kind or of any nature whatsoever (whether based in common law, statute or contract; fixed or contingent; known or unknown) suffered or incurred by a party hereto, its officers, directors, employees, affiliates, successors and assigns (including, in the case of the Purchaser, any transferee of an interest in any of the Purchased Assets, whether or not involving a third party claim.  “Damages” shall also include reasonable costs, expenses and disbursements incurred in establishing the right to be indemnified hereunder.</w:t>
      </w:r>
    </w:p>
    <w:p>
      <w:pPr>
        <w:pStyle w:val="Heading2"/>
        <w:ind w:hanging="0" w:start="0"/>
        <w:rPr/>
      </w:pPr>
      <w:r>
        <w:rPr>
          <w:u w:val="single"/>
        </w:rPr>
        <w:t>Indemnification by Purchaser</w:t>
      </w:r>
      <w:r>
        <w:rPr/>
        <w:t>.</w:t>
      </w:r>
    </w:p>
    <w:p>
      <w:pPr>
        <w:pStyle w:val="Heading3"/>
        <w:ind w:hanging="0" w:start="0"/>
        <w:rPr/>
      </w:pPr>
      <w:r>
        <w:rPr/>
        <w:t>Purchaser shall be liable for, shall indemnify Seller and its officers, directors, affiliates and employees for, shall hold harmless, protect and defend Seller and its officers, directors, affiliates and employees, from and against, and shall reimburse Seller for, any and all Seller's Damages (as defined in Section 6.2(b)).</w:t>
      </w:r>
    </w:p>
    <w:p>
      <w:pPr>
        <w:pStyle w:val="Heading3"/>
        <w:ind w:hanging="0" w:start="0"/>
        <w:rPr/>
      </w:pPr>
      <w:r>
        <w:rPr/>
        <w:t>The term “</w:t>
      </w:r>
      <w:r>
        <w:rPr>
          <w:u w:val="single"/>
        </w:rPr>
        <w:t>Seller's Damages</w:t>
      </w:r>
      <w:r>
        <w:rPr/>
        <w:t>” means all Damages sustained, incurred or suffered by Seller its officers, directors, affiliates and employees, resulting from:  (i)  any misrepresentation by Purchaser contained in or made pursuant to this Agreement or in any certificate, or instrument or agreement delivered to Seller pursuant to or in connection herewith or therewith; (ii)  any breach of warranty or any default in the performance of any covenant or obligation of Purchaser under or in connection with this Agreement or any of the Transaction Documents; (iii) any liabilities and claims under any contract or agreement to which Purchaser is a party or is bound; (iv)  any claim made by a third party alleging facts which, if true, would entitle Seller to indemnification pursuant to this Section; and (v) as a result of any modification to the Software made by Purchaser after the Closing, excepting any change(s) made by Purchaser before the earlier of the delivery of the Deliverables pursuant to Section 4.3 or 120 days under Seller’s signed writing(s) setting forth specific change(s).</w:t>
      </w:r>
    </w:p>
    <w:p>
      <w:pPr>
        <w:pStyle w:val="Heading2"/>
        <w:ind w:hanging="0" w:start="0"/>
        <w:rPr/>
      </w:pPr>
      <w:r>
        <w:rPr>
          <w:u w:val="single"/>
        </w:rPr>
        <w:t>Matters Involving Third Parties</w:t>
      </w:r>
      <w:r>
        <w:rPr/>
        <w:t>. If any legal proceeding shall be instituted, or any claim or demand made, against an indemnified party or a party which proposes to assert that the provisions of this Article VI apply (the “</w:t>
      </w:r>
      <w:r>
        <w:rPr>
          <w:u w:val="single"/>
        </w:rPr>
        <w:t>Indemnified Party</w:t>
      </w:r>
      <w:r>
        <w:rPr/>
        <w:t>”), such Indemnified Party shall give prompt written notice of the claim to the party obliged or alleged to be so obliged so to indemnify such Indemnified Party (the “</w:t>
      </w:r>
      <w:r>
        <w:rPr>
          <w:u w:val="single"/>
        </w:rPr>
        <w:t>Indemnitor</w:t>
      </w:r>
      <w:r>
        <w:rPr/>
        <w:t xml:space="preserve">”).  The omission so to notify such Indemnitor, however, shall not relieve such Indemnitor from any duty to indemnify which otherwise might exist with regard to such claim unless (and only to the extent that) the omission to notify materially prejudices the ability of the Indemnitor to assume the defense of such claim.  After any Indemnitor has received notice from an Indemnified Party that a claim has been asserted against such Indemnified Party, the Indemnitor shall promptly pay to the Indemnified Party the amount of such Damages in accordance with and subject to the provisions of this Section; </w:t>
      </w:r>
      <w:r>
        <w:rPr>
          <w:u w:val="single"/>
        </w:rPr>
        <w:t>provided</w:t>
      </w:r>
      <w:r>
        <w:rPr/>
        <w:t xml:space="preserve">, </w:t>
      </w:r>
      <w:r>
        <w:rPr>
          <w:u w:val="single"/>
        </w:rPr>
        <w:t>however</w:t>
      </w:r>
      <w:r>
        <w:rPr/>
        <w:t xml:space="preserve">, that no such payment shall be due during any period in which the Indemnitor is contesting in good faith either its obligation to make such indemnification or the amount of Damages payable, or both.  </w:t>
      </w:r>
    </w:p>
    <w:p>
      <w:pPr>
        <w:pStyle w:val="Heading2"/>
        <w:ind w:hanging="0" w:start="0"/>
        <w:rPr/>
      </w:pPr>
      <w:r>
        <w:rPr>
          <w:u w:val="single"/>
        </w:rPr>
        <w:t>Procedure for Indemnification; Other Claims</w:t>
      </w:r>
      <w:r>
        <w:rPr/>
        <w:t xml:space="preserve">.  </w:t>
      </w:r>
    </w:p>
    <w:p>
      <w:pPr>
        <w:pStyle w:val="Heading3"/>
        <w:ind w:hanging="0" w:start="0"/>
        <w:rPr/>
      </w:pPr>
      <w:r>
        <w:rPr>
          <w:u w:val="single"/>
        </w:rPr>
        <w:t>Matters Not Involving Third Party Claims</w:t>
      </w:r>
      <w:r>
        <w:rPr/>
        <w:t xml:space="preserve">.  A claim for indemnification for any matter not involving a third party claim may be asserted by notice to the party from whom indemnification is sought.  After receipt of such notice, the Indemnitor shall pay the Indemnified Party the amount of such Damages within thirty (30) days; </w:t>
      </w:r>
      <w:r>
        <w:rPr>
          <w:u w:val="single"/>
        </w:rPr>
        <w:t>provided</w:t>
      </w:r>
      <w:r>
        <w:rPr/>
        <w:t xml:space="preserve">, </w:t>
      </w:r>
      <w:r>
        <w:rPr>
          <w:u w:val="single"/>
        </w:rPr>
        <w:t>however</w:t>
      </w:r>
      <w:r>
        <w:rPr/>
        <w:t>, that no such payment shall be due during any period in which the Indemnitor is contesting in good faith either its obligation to make such indemnification or the amount of Damages payable or both.</w:t>
      </w:r>
    </w:p>
    <w:p>
      <w:pPr>
        <w:pStyle w:val="Heading3"/>
        <w:ind w:hanging="0" w:start="0"/>
        <w:rPr/>
      </w:pPr>
      <w:r>
        <w:rPr>
          <w:u w:val="single"/>
        </w:rPr>
        <w:t>Matters Involving Third Parties</w:t>
      </w:r>
      <w:r>
        <w:rPr/>
        <w:t>.  If any action indemnifiable under this Article VI shall be brought, asserted or threatened against any person indemnified under this Article VI, the Indemnified Party shall promptly notify the Indemnitor.  A failure to notify the Indemnitor timely or at all shall reduce the liabilities and obligations of the Indemnitor under Article VI only to the extent the Indemnitor actually shall be prejudiced by the failure.  The Indemnitor shall assume the defense of the action, including the employment of counsel satisfactory to the Indemnified Party and the payment of all related fees and expenses, but the Indemnified Party may employ separate counsel in the action and participate in the defense of the action at its own expense.  The Indemnified Party, however, may by written notice to the Indemnitor assume the defense of the action, including the employment of counsel, at the expense of the Indemnitor (except that the Indemnitor shall not be liable for the fees and expense of more than one such separate counsel with respect to the action) if:</w:t>
      </w:r>
    </w:p>
    <w:p>
      <w:pPr>
        <w:pStyle w:val="Heading4"/>
        <w:ind w:hanging="0" w:start="0"/>
        <w:rPr/>
      </w:pPr>
      <w:r>
        <w:rPr/>
        <w:t>the Indemnitor fails to take one or more of the following acts without a delay that reasonably could be expected to be prejudicial to the interests of the Indemnified Party: (i) acknowledge in writing to the Indemnified Party the liability of the Indemnitor to the Indemnified Party under this Article VI with respect to the action, (ii) assume the defense, (iii) post an indemnity or similar bond (in form and substance satisfactory to the Indemnitor) in an amount equal to the full amount for which the Indemnitor may be liable as a result of the action (including penalties and interest) or provide other evidence satisfactory to the Indemnified Party to the ability of the Indemnitor to pay that amount in full or (iv) employ counsel reasonably satisfactory to the Indemnified Party.</w:t>
      </w:r>
    </w:p>
    <w:p>
      <w:pPr>
        <w:pStyle w:val="Heading4"/>
        <w:ind w:hanging="0" w:start="0"/>
        <w:rPr/>
      </w:pPr>
      <w:r>
        <w:rPr/>
        <w:t>the person against whom the action shall be brought, asserted or threatened (including any impleaded parties) include the Indemnified Party and the Indemnitor and the Indemnified Party is advised by counsel that there may be one or more legal defenses available to the Indemnified Party that are different or in addition to those available to the Indemnitor.</w:t>
      </w:r>
    </w:p>
    <w:p>
      <w:pPr>
        <w:pStyle w:val="Heading4"/>
        <w:ind w:hanging="0" w:start="0"/>
        <w:rPr/>
      </w:pPr>
      <w:r>
        <w:rPr/>
        <w:t xml:space="preserve">the Indemnified Party reasonable believes that the action or an unfavorable resolution of the action may materially and adversely affect the business, properties, operations, prospects or condition (financial or otherwise) of the Indemnified Party and its affiliates other than as a result of the payment of money damages.  </w:t>
      </w:r>
    </w:p>
    <w:p>
      <w:pPr>
        <w:pStyle w:val="BodyText"/>
        <w:rPr/>
      </w:pPr>
      <w:r>
        <w:rPr/>
        <w:t>If the Indemnified Party has assumed the defense of the action pursuant to any conditions stated above, then the Indemnitor shall not have the right to assume the defense of the action on behalf of the Indemnified Party and the Indemnified Party shall have the right to control the defense, compromise or settlement of any action indemnifiable under this Article on behalf of and for the account and risk of Indemnitor.  The Indemnitor shall be bound by the result of the defense of any action, whether the defense shall have been assumed by the Indemnitor or by the Indemnified Party, and shall indemnify the Indemnified Party against, and hold the Indemnified Party harmless from, any loss in any way relating to or allegedly arising in connection with the matter or matters which shall be the basis of the action or otherwise connected to the action, except that the Indemnitor shall not be liable for the payment of the amount of money damages provided in a settlement of any action indemnifiable under this Article defended by the Indemnified Party pursuant to (ii) or (iii) above that shall have been effected without the written consent of the Indemnitor, which consent shall not be unreasonably withheld.</w:t>
      </w:r>
    </w:p>
    <w:p>
      <w:pPr>
        <w:pStyle w:val="Heading3"/>
        <w:ind w:hanging="0" w:start="0"/>
        <w:rPr/>
      </w:pPr>
      <w:r>
        <w:rPr>
          <w:u w:val="single"/>
        </w:rPr>
        <w:t>Appeal</w:t>
      </w:r>
      <w:r>
        <w:rPr/>
        <w:t xml:space="preserve">.  Notwithstanding anything in this Article VI to the contrary, if, in connection with an action indemnifiable under this Article, a governmental body or authority of competent jurisdiction or other person having authority or jurisdiction over a matter or matters related to the action shall have rendered, entered or granted a binding judgment, decision, ruling, order or award with respect to the matter or matters providing for the payment of money damages or the claimant and the Indemnitor shall have agreed to settle the action for an amount of money damages without reservation of any rights or defenses against the Indemnified Party, and the Indemnified Party elects to appeal the judgment, decision, ruling, order or award or declines to agree to the proposed settlement, as the case may be, then the Indemnified Party may continue to defend action, free of any participation by the Indemnitor, but the amount of any ultimate liability under this Article VI with respect to losses related to or allegedly arising in connection with the matter or matters that shall have been comprehended by the judgment, decision, ruling, order or award or by proposed settlement, as the case may be, shall then be limited to the amount of the judgment, decision, ruling, order or award or amount of the proposed settlement, as the case may be, plus the other indemnified losses of the Indemnified Party relating to the matter or matters through the date of its election to appeal or its rejection of the proposed settlement, as the case may be. </w:t>
      </w:r>
    </w:p>
    <w:p>
      <w:pPr>
        <w:pStyle w:val="Heading3"/>
        <w:ind w:hanging="0" w:start="0"/>
        <w:rPr/>
      </w:pPr>
      <w:r>
        <w:rPr>
          <w:u w:val="single"/>
        </w:rPr>
        <w:t>Contribution</w:t>
      </w:r>
      <w:r>
        <w:rPr/>
        <w:t xml:space="preserve">.  If the indemnification provided for in this Article VI is unavailable to an Indemnified Party (other than by reason of exceptions provided in this Article VI), or is insufficient to hold harmless Indemnified Party in respect of any loss, then the Indemnitor, in lieu of indemnifying the Indemnified Party, shall contribute to the amount paid or payable by the Indemnified Party as a result of the loss in the proportion that is appropriate to reflect the relative fault of the Indemnitor on the one part and of the Indemnified Party on the other part in connection with the events or circumstances which resulted in the loss as well as any other relevant equitable considerations.  The relative fault of the Indemnitor on the one part and the Indemnified Party on the other part shall be determined by reference to, among other things, those persons’ relative intent, knowledge, access to information and opportunity to correct or prevent the events or circumstances resulting in the loss.  The amount of any loss suffered, incurred or paid by any person shall be deemed to include all expenses incurred or paid by the person in connection with investigating or defending any action, including, but not limited to, the fees and expenses of counsel. </w:t>
      </w:r>
    </w:p>
    <w:p>
      <w:pPr>
        <w:pStyle w:val="Heading2"/>
        <w:ind w:hanging="0" w:start="0"/>
        <w:rPr/>
      </w:pPr>
      <w:r>
        <w:rPr>
          <w:u w:val="single"/>
        </w:rPr>
        <w:t>Cumulative Rights</w:t>
      </w:r>
      <w:r>
        <w:rPr/>
        <w:t>.  The rights of indemnification provided for hereunder are in addition to, and not in derogation of, any statutory, equitable or common law remedy available to a party for breach of representation, warranty, or covenant and shall be cumulative with any other right an Indemnified Party may have or may hereafter acquire under any law, any provision of this Agreement, any other Transaction Document or otherwise, and any rights any such entity shall have may be asserted completely and against the Indemnitor, without regard to the rights such entity may have against any other entity.  At no time may an Indemnitor assert a defense to its obligation to provide indemnification as set forth in this Article VI that the Indemnified Party or any of its employees or agents, had any knowledge of the matter to which the claim for indemnification relates, or conducted any investigation relating thereto prior to the Closing, and each party hereby irrevocably waives all such defenses.</w:t>
      </w:r>
    </w:p>
    <w:p>
      <w:pPr>
        <w:pStyle w:val="Heading2"/>
        <w:ind w:hanging="0" w:start="0"/>
        <w:rPr/>
      </w:pPr>
      <w:r>
        <w:rPr>
          <w:u w:val="single"/>
        </w:rPr>
        <w:t>Limitations of Liability</w:t>
      </w:r>
      <w:r>
        <w:rPr/>
        <w:t>.</w:t>
      </w:r>
    </w:p>
    <w:p>
      <w:pPr>
        <w:pStyle w:val="Heading3"/>
        <w:ind w:hanging="0" w:start="0"/>
        <w:rPr/>
      </w:pPr>
      <w:r>
        <w:rPr>
          <w:u w:val="single"/>
        </w:rPr>
        <w:t>Consequential Damages</w:t>
      </w:r>
      <w:r>
        <w:rPr/>
        <w:t>.  Except in case of fraud, intentional misrepresentation and tax matters, the parties agree that when used herein the term “Damages” shall not include, and no party to this Agreement shall be liable for, incidental, consequential, indirect or special damages arising from or relating to breaches of this Agreement, even if such party is advised of the possibility of such damages or any exclusive remedy stated in this Agreement is deemed to fail of its essential purpose.</w:t>
      </w:r>
    </w:p>
    <w:p>
      <w:pPr>
        <w:pStyle w:val="Heading3"/>
        <w:keepNext w:val="true"/>
        <w:ind w:hanging="0" w:start="0"/>
        <w:rPr/>
      </w:pPr>
      <w:r>
        <w:rPr>
          <w:u w:val="single"/>
        </w:rPr>
        <w:t>Maximum Liability</w:t>
      </w:r>
      <w:r>
        <w:rPr/>
        <w:t>.  Except in case of fraud, intentional misrepresentation and tax matters, in no event shall Seller’s and Enron Net Works’s combined liability or Purchaser’s liability under this Article VI exceed the sum total of:</w:t>
      </w:r>
    </w:p>
    <w:p>
      <w:pPr>
        <w:pStyle w:val="Heading4"/>
        <w:ind w:hanging="0" w:start="0"/>
        <w:rPr/>
      </w:pPr>
      <w:r>
        <w:rPr/>
        <w:t>the Closing Cash; plus</w:t>
      </w:r>
    </w:p>
    <w:p>
      <w:pPr>
        <w:pStyle w:val="Heading4"/>
        <w:ind w:hanging="0" w:start="0"/>
        <w:rPr/>
      </w:pPr>
      <w:r>
        <w:rPr/>
        <w:t xml:space="preserve">any Subsequent Cash Payment; plus </w:t>
      </w:r>
    </w:p>
    <w:p>
      <w:pPr>
        <w:pStyle w:val="Heading4"/>
        <w:ind w:hanging="0" w:start="0"/>
        <w:rPr/>
      </w:pPr>
      <w:r>
        <w:rPr/>
        <w:t xml:space="preserve">in the case of Seller, the dollar value of the proceeds, net of the exercise price, realized by Seller with respect to the Warrant upon the resale of the underlying shares; </w:t>
      </w:r>
      <w:r>
        <w:rPr>
          <w:u w:val="single"/>
        </w:rPr>
        <w:t>provided</w:t>
      </w:r>
      <w:r>
        <w:rPr/>
        <w:t xml:space="preserve">, </w:t>
      </w:r>
      <w:r>
        <w:rPr>
          <w:u w:val="single"/>
        </w:rPr>
        <w:t>however</w:t>
      </w:r>
      <w:r>
        <w:rPr/>
        <w:t>, that if such calculation results in a negative number, then zero shall be used for the purpose of this clause (iii).</w:t>
      </w:r>
    </w:p>
    <w:p>
      <w:pPr>
        <w:pStyle w:val="BodyText"/>
        <w:rPr/>
      </w:pPr>
      <w:r>
        <w:rPr/>
        <w:t>The limitation in this subparagraph (b) is cumulative, with all payments for all claims under this Article VI being aggregated to determine satisfaction of the limit.</w:t>
      </w:r>
    </w:p>
    <w:p>
      <w:pPr>
        <w:pStyle w:val="Heading1"/>
        <w:ind w:hanging="0" w:start="0"/>
        <w:rPr/>
      </w:pPr>
      <w:r>
        <w:rPr/>
        <w:br/>
        <w:t>GENERAL PROVISIONS</w:t>
      </w:r>
    </w:p>
    <w:p>
      <w:pPr>
        <w:pStyle w:val="Heading2"/>
        <w:ind w:hanging="0" w:start="0"/>
        <w:rPr/>
      </w:pPr>
      <w:r>
        <w:rPr>
          <w:u w:val="single"/>
        </w:rPr>
        <w:t>Survival of Representations and Warranties</w:t>
      </w:r>
      <w:r>
        <w:rPr/>
        <w:t>.  The representations and warranties of each of the parties contained herein shall survive the Closing Date.  The covenants and other agreements of the parties contained in this Agreement shall survive the Closing until they are otherwise terminated or performed in accordance with their respective terms.</w:t>
      </w:r>
    </w:p>
    <w:p>
      <w:pPr>
        <w:pStyle w:val="Heading2"/>
        <w:ind w:hanging="0" w:start="0"/>
        <w:rPr/>
      </w:pPr>
      <w:r>
        <w:rPr>
          <w:u w:val="single"/>
        </w:rPr>
        <w:t>Amendment</w:t>
      </w:r>
      <w:r>
        <w:rPr/>
        <w:t>.  This Agreement may be amended or modified in whole or in part at any time by an agreement in writing between Seller and Purchaser.</w:t>
      </w:r>
    </w:p>
    <w:p>
      <w:pPr>
        <w:pStyle w:val="Heading2"/>
        <w:ind w:hanging="0" w:start="0"/>
        <w:rPr/>
      </w:pPr>
      <w:r>
        <w:rPr>
          <w:u w:val="single"/>
        </w:rPr>
        <w:t>Waiver</w:t>
      </w:r>
      <w:r>
        <w:rPr/>
        <w:t>.  Any term or provision of this Agreement may be waived in writing at any time by Seller or Purchaser as such waiver relates to a benefit under this Agreement.  Any waiver effected pursuant to this Section 7.3 shall be binding.  No failure to exercise and no delay in exercising any right, power or privilege shall operate as a waiver thereof, nor shall any single or partial exercise of any right, power or privilege preclude the exercise of any other right, power or privilege.  No waiver of any breach of any covenant or agreement hereunder shall be deemed a waiver of a preceding or subsequent breach of the same or any other covenant or agreement.  The rights and remedies under this Agreement are in addition to all other rights and remedies, whether at law, in equity or otherwise, that either party may have against the other.</w:t>
      </w:r>
    </w:p>
    <w:p>
      <w:pPr>
        <w:pStyle w:val="Heading2"/>
        <w:ind w:hanging="0" w:start="0"/>
        <w:rPr/>
      </w:pPr>
      <w:r>
        <w:rPr>
          <w:u w:val="single"/>
        </w:rPr>
        <w:t>Cumulative Remedies</w:t>
      </w:r>
      <w:r>
        <w:rPr/>
        <w:t>.  The rights and remedies under this Agreement are cumulative and not exclusive of any other rights, remedies, powers and privileges that may be available under this Agreement or otherwise.</w:t>
      </w:r>
    </w:p>
    <w:p>
      <w:pPr>
        <w:pStyle w:val="Heading2"/>
        <w:ind w:hanging="0" w:start="0"/>
        <w:rPr/>
      </w:pPr>
      <w:r>
        <w:rPr>
          <w:u w:val="single"/>
        </w:rPr>
        <w:t>Notices</w:t>
      </w:r>
      <w:r>
        <w:rPr/>
        <w:t>.  Unless otherwise provided, any notice required or permitted under this Agreement shall be given in writing and shall be deemed effectively given upon personal delivery to the party to be notified or two (2) days following timely deposit with a reputable international overnight courier with express delivery instructions at the address indicated below or at such other address as such party may designate by ten (10) days’ advance written notice to the other party pursuant to these provisions.</w:t>
      </w:r>
    </w:p>
    <w:p>
      <w:pPr>
        <w:pStyle w:val="Normal"/>
        <w:keepNext w:val="true"/>
        <w:suppressAutoHyphens w:val="true"/>
        <w:ind w:start="720" w:end="0"/>
        <w:rPr/>
      </w:pPr>
      <w:r>
        <w:rPr/>
        <w:t>To Purchaser:</w:t>
        <w:tab/>
        <w:tab/>
        <w:t>ECOutlook.com, Inc.</w:t>
      </w:r>
    </w:p>
    <w:p>
      <w:pPr>
        <w:pStyle w:val="Normal"/>
        <w:keepNext w:val="true"/>
        <w:suppressAutoHyphens w:val="true"/>
        <w:rPr/>
      </w:pPr>
      <w:r>
        <w:rPr/>
        <w:tab/>
        <w:tab/>
        <w:tab/>
        <w:tab/>
        <w:t>9800 Centre Parkway, Suite 530</w:t>
      </w:r>
    </w:p>
    <w:p>
      <w:pPr>
        <w:pStyle w:val="Normal"/>
        <w:keepNext w:val="true"/>
        <w:suppressAutoHyphens w:val="true"/>
        <w:rPr/>
      </w:pPr>
      <w:r>
        <w:rPr/>
        <w:tab/>
        <w:tab/>
        <w:tab/>
        <w:tab/>
        <w:t>Houston, Texas  77036</w:t>
      </w:r>
    </w:p>
    <w:p>
      <w:pPr>
        <w:pStyle w:val="Normal"/>
        <w:suppressAutoHyphens w:val="true"/>
        <w:spacing w:before="0" w:after="240"/>
        <w:rPr/>
      </w:pPr>
      <w:r>
        <w:rPr/>
        <w:tab/>
        <w:tab/>
        <w:tab/>
        <w:tab/>
        <w:t>Attention:   Chief Executive Officer</w:t>
        <w:br/>
        <w:tab/>
        <w:tab/>
        <w:tab/>
        <w:tab/>
        <w:t>Fax:  (713) 773-9944</w:t>
      </w:r>
    </w:p>
    <w:p>
      <w:pPr>
        <w:pStyle w:val="Normal"/>
        <w:suppressAutoHyphens w:val="true"/>
        <w:spacing w:before="0" w:after="240"/>
        <w:ind w:firstLine="720" w:start="720" w:end="0"/>
        <w:jc w:val="both"/>
        <w:rPr/>
      </w:pPr>
      <w:r>
        <w:rPr/>
        <w:t>with a copy (which shall not constitute notice) to:</w:t>
      </w:r>
    </w:p>
    <w:p>
      <w:pPr>
        <w:pStyle w:val="Normal"/>
        <w:keepNext w:val="true"/>
        <w:suppressAutoHyphens w:val="true"/>
        <w:ind w:firstLine="720" w:start="2160" w:end="0"/>
        <w:rPr/>
      </w:pPr>
      <w:r>
        <w:rPr/>
        <w:t>J. Matthew Lyons, P.C.</w:t>
      </w:r>
    </w:p>
    <w:p>
      <w:pPr>
        <w:pStyle w:val="Normal"/>
        <w:keepNext w:val="true"/>
        <w:suppressAutoHyphens w:val="true"/>
        <w:ind w:firstLine="720" w:start="2160" w:end="0"/>
        <w:rPr/>
      </w:pPr>
      <w:r>
        <w:rPr/>
        <w:t>Brobeck, Phleger &amp; Harrison LLP</w:t>
      </w:r>
    </w:p>
    <w:p>
      <w:pPr>
        <w:pStyle w:val="Normal"/>
        <w:keepNext w:val="true"/>
        <w:suppressAutoHyphens w:val="true"/>
        <w:ind w:firstLine="720" w:start="2160" w:end="0"/>
        <w:rPr/>
      </w:pPr>
      <w:r>
        <w:rPr/>
        <w:t>4801 Plaza on the Lake</w:t>
      </w:r>
    </w:p>
    <w:p>
      <w:pPr>
        <w:pStyle w:val="Normal"/>
        <w:keepNext w:val="true"/>
        <w:suppressAutoHyphens w:val="true"/>
        <w:ind w:firstLine="720" w:start="2160" w:end="0"/>
        <w:rPr/>
      </w:pPr>
      <w:r>
        <w:rPr/>
        <w:t>Austin, Texas 78746</w:t>
      </w:r>
    </w:p>
    <w:p>
      <w:pPr>
        <w:pStyle w:val="Normal"/>
        <w:suppressAutoHyphens w:val="true"/>
        <w:ind w:firstLine="720" w:start="2160" w:end="0"/>
        <w:rPr/>
      </w:pPr>
      <w:r>
        <w:rPr/>
        <w:t>Fax:  (512) 330-4001</w:t>
      </w:r>
    </w:p>
    <w:p>
      <w:pPr>
        <w:pStyle w:val="Normal"/>
        <w:keepNext w:val="true"/>
        <w:keepLines/>
        <w:spacing w:before="240" w:after="0"/>
        <w:ind w:start="720" w:end="0"/>
        <w:rPr/>
      </w:pPr>
      <w:r>
        <w:rPr/>
        <w:t>To Seller:</w:t>
        <w:tab/>
        <w:tab/>
        <w:t>Enron Corp.</w:t>
      </w:r>
    </w:p>
    <w:p>
      <w:pPr>
        <w:pStyle w:val="Normal"/>
        <w:keepNext w:val="true"/>
        <w:keepLines/>
        <w:ind w:firstLine="720" w:start="2160" w:end="0"/>
        <w:rPr/>
      </w:pPr>
      <w:r>
        <w:rPr/>
        <w:t>1400 Smith Street</w:t>
      </w:r>
    </w:p>
    <w:p>
      <w:pPr>
        <w:pStyle w:val="Normal"/>
        <w:keepNext w:val="true"/>
        <w:keepLines/>
        <w:ind w:firstLine="720" w:start="2160" w:end="0"/>
        <w:rPr/>
      </w:pPr>
      <w:r>
        <w:rPr/>
        <w:t>Houston, Texas 77002</w:t>
      </w:r>
    </w:p>
    <w:p>
      <w:pPr>
        <w:pStyle w:val="Normal"/>
        <w:keepNext w:val="true"/>
        <w:keepLines/>
        <w:rPr/>
      </w:pPr>
      <w:r>
        <w:rPr/>
        <w:tab/>
        <w:tab/>
        <w:tab/>
        <w:tab/>
        <w:t>Fax:  (713) 646-3334</w:t>
      </w:r>
    </w:p>
    <w:p>
      <w:pPr>
        <w:pStyle w:val="Normal"/>
        <w:keepNext w:val="true"/>
        <w:keepLines/>
        <w:rPr/>
      </w:pPr>
      <w:r>
        <w:rPr/>
        <w:tab/>
        <w:tab/>
        <w:tab/>
        <w:tab/>
        <w:t>Attention:  Philippe Bibi, Chief Technology Officer</w:t>
      </w:r>
    </w:p>
    <w:p>
      <w:pPr>
        <w:pStyle w:val="Normal"/>
        <w:keepNext w:val="true"/>
        <w:keepLines/>
        <w:rPr/>
      </w:pPr>
      <w:r>
        <w:rPr/>
      </w:r>
    </w:p>
    <w:p>
      <w:pPr>
        <w:pStyle w:val="Normal"/>
        <w:suppressAutoHyphens w:val="true"/>
        <w:spacing w:before="0" w:after="240"/>
        <w:ind w:firstLine="720" w:start="720" w:end="0"/>
        <w:jc w:val="both"/>
        <w:rPr/>
      </w:pPr>
      <w:r>
        <w:rPr/>
        <w:t>with a copy (which shall not constitute notice) to:</w:t>
      </w:r>
    </w:p>
    <w:p>
      <w:pPr>
        <w:pStyle w:val="Normal"/>
        <w:keepNext w:val="true"/>
        <w:keepLines/>
        <w:spacing w:before="240" w:after="0"/>
        <w:ind w:firstLine="720" w:start="2160" w:end="0"/>
        <w:rPr/>
      </w:pPr>
      <w:r>
        <w:rPr/>
        <w:t>Enron Corp.</w:t>
      </w:r>
    </w:p>
    <w:p>
      <w:pPr>
        <w:pStyle w:val="Normal"/>
        <w:keepNext w:val="true"/>
        <w:keepLines/>
        <w:ind w:firstLine="720" w:start="2160" w:end="0"/>
        <w:rPr/>
      </w:pPr>
      <w:r>
        <w:rPr/>
        <w:t>1400 Smith Street</w:t>
      </w:r>
    </w:p>
    <w:p>
      <w:pPr>
        <w:pStyle w:val="Normal"/>
        <w:keepNext w:val="true"/>
        <w:keepLines/>
        <w:ind w:firstLine="720" w:start="2160" w:end="0"/>
        <w:rPr/>
      </w:pPr>
      <w:r>
        <w:rPr/>
        <w:t>Houston, Texas 77002</w:t>
      </w:r>
    </w:p>
    <w:p>
      <w:pPr>
        <w:pStyle w:val="Normal"/>
        <w:keepNext w:val="true"/>
        <w:keepLines/>
        <w:ind w:firstLine="720" w:start="2160" w:end="0"/>
        <w:rPr/>
      </w:pPr>
      <w:r>
        <w:rPr/>
        <w:t>Fax:  (713) 853-3920</w:t>
      </w:r>
    </w:p>
    <w:p>
      <w:pPr>
        <w:pStyle w:val="Normal"/>
        <w:keepNext w:val="true"/>
        <w:keepLines/>
        <w:rPr/>
      </w:pPr>
      <w:r>
        <w:rPr/>
        <w:tab/>
        <w:tab/>
        <w:tab/>
        <w:tab/>
        <w:t>Attention:  Executive Vice President and General Counsel</w:t>
      </w:r>
    </w:p>
    <w:p>
      <w:pPr>
        <w:pStyle w:val="Normal"/>
        <w:rPr/>
      </w:pPr>
      <w:r>
        <w:rPr/>
      </w:r>
    </w:p>
    <w:p>
      <w:pPr>
        <w:pStyle w:val="Heading2"/>
        <w:ind w:hanging="0" w:start="0"/>
        <w:rPr/>
      </w:pPr>
      <w:r>
        <w:rPr/>
        <w:t>Counterparts.  This Agreement may be executed in counterparts, each of which shall be deemed an original, but all of which taken together shall constitute one and the same instrument.</w:t>
      </w:r>
    </w:p>
    <w:p>
      <w:pPr>
        <w:pStyle w:val="Heading2"/>
        <w:ind w:hanging="0" w:start="0"/>
        <w:rPr/>
      </w:pPr>
      <w:r>
        <w:rPr>
          <w:u w:val="single"/>
        </w:rPr>
        <w:t>Governing Law and Venue of Legal Actions</w:t>
      </w:r>
      <w:r>
        <w:rPr/>
        <w:t xml:space="preserve">.  THIS AGREEMENT SHALL BE GOVERNED BY, INTERPRETED UNDER, AND CONSTRUED AND ENFORCED IN ACCORDANCE WITH THE LAWS OF THE STATE OF TEXAS, WITHOUT REGARD TO CONFLICTS OF LAW PRINCIPLES.  THE SOLE JURISDICTION AND VENUE FOR ACTIONS RELATED TO THE SUBJECT MATTER HEREOF SHALL BE THE STATE OF TEXAS AND U.S. FEDERAL COURTS HAVING WITH THEIR JURISDICTION THE HARRIS COUNTY, TEXAS OR THE SOUTHERN DISTRICT OF TEXAS.  </w:t>
      </w:r>
    </w:p>
    <w:p>
      <w:pPr>
        <w:pStyle w:val="Heading2"/>
        <w:ind w:hanging="0" w:start="0"/>
        <w:rPr/>
      </w:pPr>
      <w:r>
        <w:rPr>
          <w:u w:val="single"/>
        </w:rPr>
        <w:t>Entire Agreement</w:t>
      </w:r>
      <w:r>
        <w:rPr/>
        <w:t>.  The terms of this Agreement (including the Exhibits and Schedules hereto) and other documents and instruments referenced herein are intended by the parties as a final expression of their agreement with respect to the subject matter hereof and thereof and may not be contradicted by evidence of any prior or contemporaneous agreement.  The parties further intend that this Agreement constitutes the complete and exclusive statement of its terms and that no extrinsic evidence whatsoever may be introduced in any judicial proceeding, if any, involving this Agreement.</w:t>
      </w:r>
    </w:p>
    <w:p>
      <w:pPr>
        <w:pStyle w:val="Heading2"/>
        <w:ind w:hanging="0" w:start="0"/>
        <w:rPr/>
      </w:pPr>
      <w:r>
        <w:rPr>
          <w:u w:val="single"/>
        </w:rPr>
        <w:t>No Third-Party Rights</w:t>
      </w:r>
      <w:r>
        <w:rPr/>
        <w:t>.  The parties do not intend to confer any benefit hereunder on any person, firm or corporation other than the parties hereto.</w:t>
      </w:r>
    </w:p>
    <w:p>
      <w:pPr>
        <w:pStyle w:val="Heading2"/>
        <w:ind w:hanging="0" w:start="0"/>
        <w:rPr/>
      </w:pPr>
      <w:r>
        <w:rPr>
          <w:u w:val="single"/>
        </w:rPr>
        <w:t>Titles and Headings</w:t>
      </w:r>
      <w:r>
        <w:rPr/>
        <w:t>.  Titles and headings of sections of this Agreement are for convenience of reference only and shall not affect the construction of any provision of this Agreement.</w:t>
      </w:r>
    </w:p>
    <w:p>
      <w:pPr>
        <w:pStyle w:val="Heading2"/>
        <w:ind w:hanging="0" w:start="0"/>
        <w:rPr/>
      </w:pPr>
      <w:r>
        <w:rPr>
          <w:u w:val="single"/>
        </w:rPr>
        <w:t>Assignment</w:t>
      </w:r>
      <w:r>
        <w:rPr/>
        <w:t>.  This Agreement and the rights, duties and obligations hereunder may not be assigned by either party without the prior written consent of the other party, and any attempted assignment without consent shall be void.  In the case of Seller, such an assignment shall be deemed to include an assignment by operation of law.</w:t>
      </w:r>
    </w:p>
    <w:p>
      <w:pPr>
        <w:pStyle w:val="Heading2"/>
        <w:ind w:hanging="0" w:start="0"/>
        <w:rPr/>
      </w:pPr>
      <w:r>
        <w:rPr>
          <w:u w:val="single"/>
        </w:rPr>
        <w:t>Successors and Assigns</w:t>
      </w:r>
      <w:r>
        <w:rPr/>
        <w:t>.  Subject to Section 7.11, this Agreement and the provisions hereof shall be binding upon each of the parties, their permitted successors and assigns.</w:t>
      </w:r>
    </w:p>
    <w:p>
      <w:pPr>
        <w:pStyle w:val="Heading2"/>
        <w:ind w:hanging="0" w:start="0"/>
        <w:rPr/>
      </w:pPr>
      <w:r>
        <w:rPr>
          <w:u w:val="single"/>
        </w:rPr>
        <w:t>Severability</w:t>
      </w:r>
      <w:r>
        <w:rPr/>
        <w:t xml:space="preserve">.  If one or more provisions of this Agreement are held to be unenforceable under applicable law, such provision shall be excluded from this Agreement and the balance of the Agreement shall be interpreted as if such provision were so excluded and shall be enforceable in accordance with its terms.  </w:t>
      </w:r>
    </w:p>
    <w:p>
      <w:pPr>
        <w:pStyle w:val="ABodyText"/>
        <w:ind w:hanging="0" w:end="0"/>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ABodyText"/>
        <w:ind w:hanging="0" w:end="0"/>
        <w:jc w:val="center"/>
        <w:rPr>
          <w:b/>
          <w:sz w:val="22"/>
        </w:rPr>
      </w:pPr>
      <w:r>
        <w:rPr>
          <w:b/>
          <w:sz w:val="22"/>
        </w:rPr>
        <w:t>[SIGNATURE PAGE FOLLOWS]</w:t>
      </w:r>
    </w:p>
    <w:p>
      <w:pPr>
        <w:pStyle w:val="BodyText"/>
        <w:rPr/>
      </w:pPr>
      <w:r>
        <w:rPr/>
        <w:t>IN WITNESS WHEREOF, the parties have caused this Asset Purchase Agreement to be duly executed and delivered as of the date first set forth above.</w:t>
      </w:r>
    </w:p>
    <w:p>
      <w:pPr>
        <w:pStyle w:val="Normal"/>
        <w:suppressAutoHyphens w:val="true"/>
        <w:jc w:val="both"/>
        <w:rPr/>
      </w:pPr>
      <w:r>
        <w:rPr/>
      </w:r>
    </w:p>
    <w:p>
      <w:pPr>
        <w:pStyle w:val="Normal"/>
        <w:suppressAutoHyphens w:val="true"/>
        <w:ind w:firstLine="720" w:start="720" w:end="0"/>
        <w:jc w:val="both"/>
        <w:rPr/>
      </w:pPr>
      <w:r>
        <w:rPr/>
        <w:tab/>
        <w:tab/>
        <w:tab/>
        <w:tab/>
      </w:r>
      <w:r>
        <w:rPr>
          <w:b/>
        </w:rPr>
        <w:t>ECOUTLOOK.COM, INC</w:t>
      </w:r>
      <w:r>
        <w:rPr/>
        <w:t>.</w:t>
      </w:r>
    </w:p>
    <w:p>
      <w:pPr>
        <w:pStyle w:val="Normal"/>
        <w:rPr/>
      </w:pPr>
      <w:r>
        <w:rPr/>
      </w:r>
    </w:p>
    <w:p>
      <w:pPr>
        <w:pStyle w:val="Normal"/>
        <w:rPr/>
      </w:pPr>
      <w:r>
        <w:rPr/>
      </w:r>
    </w:p>
    <w:p>
      <w:pPr>
        <w:pStyle w:val="Normal"/>
        <w:rPr/>
      </w:pPr>
      <w:r>
        <w:rPr/>
      </w:r>
    </w:p>
    <w:p>
      <w:pPr>
        <w:pStyle w:val="Normal"/>
        <w:suppressAutoHyphens w:val="true"/>
        <w:ind w:firstLine="720" w:start="720" w:end="0"/>
        <w:jc w:val="both"/>
        <w:rPr/>
      </w:pPr>
      <w:r>
        <w:rPr>
          <w:rStyle w:val="ParaNum"/>
        </w:rPr>
        <w:tab/>
        <w:tab/>
        <w:tab/>
        <w:tab/>
        <w:t>By:</w:t>
      </w:r>
      <w:r>
        <w:rPr>
          <w:rStyle w:val="ParaNum"/>
          <w:u w:val="single"/>
        </w:rPr>
        <w:tab/>
        <w:tab/>
        <w:tab/>
        <w:tab/>
        <w:tab/>
        <w:tab/>
      </w:r>
    </w:p>
    <w:p>
      <w:pPr>
        <w:pStyle w:val="Normal"/>
        <w:suppressAutoHyphens w:val="true"/>
        <w:ind w:firstLine="720" w:start="720" w:end="0"/>
        <w:jc w:val="both"/>
        <w:rPr/>
      </w:pPr>
      <w:r>
        <w:rPr>
          <w:rStyle w:val="ParaNum"/>
        </w:rPr>
        <w:tab/>
        <w:tab/>
        <w:tab/>
        <w:tab/>
        <w:t>Name:</w:t>
      </w:r>
      <w:r>
        <w:rPr>
          <w:rStyle w:val="ParaNum"/>
          <w:u w:val="single"/>
        </w:rPr>
        <w:tab/>
        <w:tab/>
        <w:tab/>
        <w:tab/>
        <w:tab/>
        <w:tab/>
      </w:r>
      <w:r>
        <w:rPr>
          <w:rStyle w:val="ParaNum"/>
        </w:rPr>
        <w:br/>
        <w:tab/>
        <w:tab/>
        <w:tab/>
        <w:tab/>
        <w:tab/>
        <w:t>Title:</w:t>
      </w:r>
      <w:r>
        <w:rPr>
          <w:rStyle w:val="ParaNum"/>
          <w:u w:val="single"/>
        </w:rPr>
        <w:tab/>
        <w:tab/>
        <w:tab/>
        <w:tab/>
        <w:tab/>
        <w:tab/>
      </w:r>
    </w:p>
    <w:p>
      <w:pPr>
        <w:pStyle w:val="Normal"/>
        <w:ind w:start="5040" w:end="0"/>
        <w:rPr>
          <w:rStyle w:val="ParaNum"/>
          <w:u w:val="single"/>
        </w:rPr>
      </w:pPr>
      <w:r>
        <w:rPr/>
      </w:r>
    </w:p>
    <w:p>
      <w:pPr>
        <w:pStyle w:val="Normal"/>
        <w:rPr>
          <w:u w:val="single"/>
        </w:rPr>
      </w:pPr>
      <w:r>
        <w:rPr>
          <w:u w:val="single"/>
        </w:rPr>
      </w:r>
    </w:p>
    <w:p>
      <w:pPr>
        <w:pStyle w:val="Normal"/>
        <w:rPr/>
      </w:pPr>
      <w:r>
        <w:rPr/>
      </w:r>
    </w:p>
    <w:p>
      <w:pPr>
        <w:pStyle w:val="Normal"/>
        <w:rPr/>
      </w:pPr>
      <w:r>
        <w:rPr/>
      </w:r>
    </w:p>
    <w:p>
      <w:pPr>
        <w:pStyle w:val="Normal"/>
        <w:suppressAutoHyphens w:val="true"/>
        <w:ind w:firstLine="720" w:start="720" w:end="0"/>
        <w:jc w:val="both"/>
        <w:rPr/>
      </w:pPr>
      <w:r>
        <w:rPr/>
        <w:tab/>
        <w:tab/>
        <w:tab/>
        <w:tab/>
      </w:r>
      <w:r>
        <w:rPr>
          <w:b/>
        </w:rPr>
        <w:t>ENRON CORP.</w:t>
      </w:r>
    </w:p>
    <w:p>
      <w:pPr>
        <w:pStyle w:val="Normal"/>
        <w:rPr>
          <w:b/>
        </w:rPr>
      </w:pPr>
      <w:r>
        <w:rPr>
          <w:b/>
        </w:rPr>
      </w:r>
    </w:p>
    <w:p>
      <w:pPr>
        <w:pStyle w:val="Normal"/>
        <w:rPr/>
      </w:pPr>
      <w:r>
        <w:rPr/>
      </w:r>
    </w:p>
    <w:p>
      <w:pPr>
        <w:pStyle w:val="Normal"/>
        <w:rPr/>
      </w:pPr>
      <w:r>
        <w:rPr/>
      </w:r>
    </w:p>
    <w:p>
      <w:pPr>
        <w:pStyle w:val="Normal"/>
        <w:suppressAutoHyphens w:val="true"/>
        <w:ind w:firstLine="720" w:start="720" w:end="0"/>
        <w:jc w:val="both"/>
        <w:rPr>
          <w:rStyle w:val="ParaNum"/>
        </w:rPr>
      </w:pPr>
      <w:r>
        <w:rPr>
          <w:rStyle w:val="ParaNum"/>
        </w:rPr>
        <w:tab/>
        <w:tab/>
        <w:tab/>
        <w:tab/>
        <w:t>By:</w:t>
      </w:r>
      <w:r>
        <w:rPr>
          <w:rStyle w:val="ParaNum"/>
          <w:u w:val="single"/>
        </w:rPr>
        <w:tab/>
        <w:tab/>
        <w:tab/>
        <w:tab/>
        <w:tab/>
        <w:tab/>
      </w:r>
    </w:p>
    <w:p>
      <w:pPr>
        <w:pStyle w:val="Normal"/>
        <w:suppressAutoHyphens w:val="true"/>
        <w:ind w:firstLine="720" w:start="720" w:end="0"/>
        <w:jc w:val="both"/>
        <w:rPr/>
      </w:pPr>
      <w:r>
        <w:rPr/>
        <w:tab/>
        <w:tab/>
        <w:tab/>
        <w:tab/>
        <w:t>Name:</w:t>
      </w:r>
      <w:r>
        <w:rPr>
          <w:u w:val="single"/>
        </w:rPr>
        <w:tab/>
        <w:tab/>
        <w:tab/>
        <w:tab/>
        <w:tab/>
        <w:tab/>
      </w:r>
    </w:p>
    <w:p>
      <w:pPr>
        <w:pStyle w:val="Normal"/>
        <w:rPr/>
      </w:pPr>
      <w:r>
        <w:rPr/>
        <w:tab/>
        <w:tab/>
        <w:tab/>
        <w:tab/>
        <w:tab/>
        <w:tab/>
        <w:t>Title:</w:t>
      </w:r>
      <w:r>
        <w:rPr>
          <w:u w:val="single"/>
        </w:rPr>
        <w:tab/>
        <w:tab/>
        <w:tab/>
        <w:tab/>
        <w:tab/>
        <w:tab/>
      </w:r>
    </w:p>
    <w:p>
      <w:pPr>
        <w:pStyle w:val="Normal"/>
        <w:rPr>
          <w:u w:val="single"/>
        </w:rPr>
      </w:pPr>
      <w:r>
        <w:rPr>
          <w:u w:val="single"/>
        </w:rPr>
      </w:r>
    </w:p>
    <w:p>
      <w:pPr>
        <w:pStyle w:val="Normal"/>
        <w:rPr/>
      </w:pPr>
      <w:r>
        <w:rPr/>
      </w:r>
    </w:p>
    <w:p>
      <w:pPr>
        <w:pStyle w:val="Normal"/>
        <w:rPr/>
      </w:pPr>
      <w:r>
        <w:rPr/>
      </w:r>
    </w:p>
    <w:p>
      <w:pPr>
        <w:pStyle w:val="Normal"/>
        <w:suppressAutoHyphens w:val="true"/>
        <w:ind w:firstLine="720" w:start="720" w:end="0"/>
        <w:jc w:val="both"/>
        <w:rPr/>
      </w:pPr>
      <w:r>
        <w:rPr/>
        <w:tab/>
        <w:tab/>
        <w:tab/>
        <w:tab/>
      </w:r>
      <w:r>
        <w:rPr>
          <w:b/>
        </w:rPr>
        <w:t>ENRON NET WORKS INVESTMENTS, LLC</w:t>
      </w:r>
    </w:p>
    <w:p>
      <w:pPr>
        <w:pStyle w:val="Normal"/>
        <w:rPr>
          <w:b/>
        </w:rPr>
      </w:pPr>
      <w:r>
        <w:rPr>
          <w:b/>
        </w:rPr>
      </w:r>
    </w:p>
    <w:p>
      <w:pPr>
        <w:pStyle w:val="Normal"/>
        <w:rPr/>
      </w:pPr>
      <w:r>
        <w:rPr/>
      </w:r>
    </w:p>
    <w:p>
      <w:pPr>
        <w:pStyle w:val="Normal"/>
        <w:rPr/>
      </w:pPr>
      <w:r>
        <w:rPr/>
      </w:r>
    </w:p>
    <w:p>
      <w:pPr>
        <w:pStyle w:val="Normal"/>
        <w:suppressAutoHyphens w:val="true"/>
        <w:ind w:firstLine="720" w:start="720" w:end="0"/>
        <w:jc w:val="both"/>
        <w:rPr>
          <w:rStyle w:val="ParaNum"/>
        </w:rPr>
      </w:pPr>
      <w:r>
        <w:rPr>
          <w:rStyle w:val="ParaNum"/>
        </w:rPr>
        <w:tab/>
        <w:tab/>
        <w:tab/>
        <w:tab/>
        <w:t>By:</w:t>
      </w:r>
      <w:r>
        <w:rPr>
          <w:rStyle w:val="ParaNum"/>
          <w:u w:val="single"/>
        </w:rPr>
        <w:tab/>
        <w:tab/>
        <w:tab/>
        <w:tab/>
        <w:tab/>
        <w:tab/>
      </w:r>
    </w:p>
    <w:p>
      <w:pPr>
        <w:pStyle w:val="Normal"/>
        <w:suppressAutoHyphens w:val="true"/>
        <w:ind w:firstLine="720" w:start="720" w:end="0"/>
        <w:jc w:val="both"/>
        <w:rPr/>
      </w:pPr>
      <w:r>
        <w:rPr/>
        <w:tab/>
        <w:tab/>
        <w:tab/>
        <w:tab/>
        <w:t>Name:</w:t>
      </w:r>
      <w:r>
        <w:rPr>
          <w:u w:val="single"/>
        </w:rPr>
        <w:tab/>
        <w:tab/>
        <w:tab/>
        <w:tab/>
        <w:tab/>
        <w:tab/>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Normal"/>
        <w:rPr/>
      </w:pPr>
      <w:r>
        <w:rPr/>
        <w:tab/>
        <w:tab/>
        <w:tab/>
        <w:tab/>
        <w:tab/>
        <w:tab/>
        <w:t>Title:</w:t>
      </w:r>
      <w:r>
        <w:rPr>
          <w:u w:val="single"/>
        </w:rPr>
        <w:tab/>
        <w:tab/>
        <w:tab/>
        <w:tab/>
        <w:tab/>
        <w:tab/>
      </w:r>
    </w:p>
    <w:p>
      <w:pPr>
        <w:pStyle w:val="CenteredHeading"/>
        <w:spacing w:before="0" w:after="240"/>
        <w:rPr/>
      </w:pPr>
      <w:r>
        <w:rPr/>
        <w:t>SCHEDULE 1.1(a)(i)</w:t>
      </w:r>
    </w:p>
    <w:p>
      <w:pPr>
        <w:pStyle w:val="Heading"/>
        <w:spacing w:before="240" w:after="720"/>
        <w:rPr>
          <w:rFonts w:ascii="Times New Roman Bold" w:hAnsi="Times New Roman Bold" w:cs="Times New Roman Bold"/>
          <w:caps/>
        </w:rPr>
      </w:pPr>
      <w:r>
        <w:rPr>
          <w:rFonts w:cs="Times New Roman Bold" w:ascii="Times New Roman Bold" w:hAnsi="Times New Roman Bold"/>
          <w:caps/>
        </w:rPr>
        <w:t>PURCHASED ASSETS</w:t>
      </w:r>
    </w:p>
    <w:p>
      <w:pPr>
        <w:pStyle w:val="List"/>
        <w:numPr>
          <w:ilvl w:val="0"/>
          <w:numId w:val="17"/>
        </w:numPr>
        <w:ind w:hanging="0" w:start="0"/>
        <w:rPr/>
      </w:pPr>
      <w:r>
        <w:rPr/>
        <w:t>All of Seller’s software, technology and product lines (the “</w:t>
      </w:r>
      <w:r>
        <w:rPr>
          <w:u w:val="single"/>
        </w:rPr>
        <w:t>Software</w:t>
      </w:r>
      <w:r>
        <w:rPr/>
        <w:t xml:space="preserve">”) relating to data maps, mapping structures and integration tools for electronically enabling the natural gas, electric power, financial trading or other processes described in the functional summary in </w:t>
      </w:r>
      <w:r>
        <w:rPr>
          <w:u w:val="single"/>
        </w:rPr>
        <w:t>Schedule 1.1(a)(ii)</w:t>
      </w:r>
      <w:r>
        <w:rPr/>
        <w:t xml:space="preserve"> or detailed in the Deliverables listed in </w:t>
      </w:r>
      <w:r>
        <w:rPr>
          <w:u w:val="single"/>
        </w:rPr>
        <w:t>Schedule 4.3</w:t>
      </w:r>
      <w:r>
        <w:rPr/>
        <w:t>, including, but not limited to, the outputs of third party resource compilers, Seller-developed resource compilers, binary resources, shell scripts, make files, utilities and help file viewers relating thereto; whether such Software exists at the Closing or is developed thereafter by Seller or any of its third party contractors, including, but not limited to, EC Power.</w:t>
      </w:r>
    </w:p>
    <w:p>
      <w:pPr>
        <w:pStyle w:val="BodyTextIndent"/>
        <w:rPr/>
      </w:pPr>
      <w:r>
        <w:rPr/>
        <w:t xml:space="preserve">Attached to this </w:t>
      </w:r>
      <w:r>
        <w:rPr>
          <w:u w:val="single"/>
        </w:rPr>
        <w:t>Schedule 1.1(a)(i)</w:t>
      </w:r>
      <w:r>
        <w:rPr/>
        <w:t xml:space="preserve"> is a list by script name of the programs that Seller believes currently comprise the Software, an identical copy of which list has been provided to Purchaser in electronic form, except that those programs with the sole entry “PGE” (and no other combination thereof such as “PGE/EES”) under the column titled “Enron Application Supported” (the “</w:t>
      </w:r>
      <w:r>
        <w:rPr>
          <w:u w:val="single"/>
        </w:rPr>
        <w:t>PGE Data Maps</w:t>
      </w:r>
      <w:r>
        <w:rPr/>
        <w:t>”), are intended to be Excluded Assets.  Notwithstanding its attachment hereto, such list is provided for convenience of reference only and shall not be deemed to be incorporated into the Agreement nor to form a part of the definition of Software or Purchased Assets hereunder.</w:t>
      </w:r>
    </w:p>
    <w:p>
      <w:pPr>
        <w:pStyle w:val="List"/>
        <w:numPr>
          <w:ilvl w:val="0"/>
          <w:numId w:val="17"/>
        </w:numPr>
        <w:ind w:hanging="0" w:start="0"/>
        <w:rPr/>
      </w:pPr>
      <w:r>
        <w:rPr/>
        <w:t xml:space="preserve">All Intellectual Property Rights with respect to the Software (as defined above) and Documentation (as defined below), including versions or works produced by Seller after the Closing pursuant to Section 4.3 or required to cause the Software to have the functionality set forth in </w:t>
      </w:r>
      <w:r>
        <w:rPr>
          <w:u w:val="single"/>
        </w:rPr>
        <w:t>Schedule 1.1(a)(ii)</w:t>
      </w:r>
      <w:r>
        <w:rPr/>
        <w:t>.</w:t>
      </w:r>
    </w:p>
    <w:p>
      <w:pPr>
        <w:pStyle w:val="List"/>
        <w:numPr>
          <w:ilvl w:val="0"/>
          <w:numId w:val="17"/>
        </w:numPr>
        <w:ind w:hanging="0" w:start="0"/>
        <w:rPr/>
      </w:pPr>
      <w:r>
        <w:rPr/>
        <w:t>The master copies of the Software and all versions thereof.</w:t>
      </w:r>
    </w:p>
    <w:p>
      <w:pPr>
        <w:pStyle w:val="List"/>
        <w:numPr>
          <w:ilvl w:val="0"/>
          <w:numId w:val="17"/>
        </w:numPr>
        <w:ind w:hanging="0" w:start="0"/>
        <w:rPr/>
      </w:pPr>
      <w:r>
        <w:rPr/>
        <w:t>All tangible embodiments of the source code for the Software (the “</w:t>
      </w:r>
      <w:r>
        <w:rPr>
          <w:u w:val="single"/>
        </w:rPr>
        <w:t>Source Code</w:t>
      </w:r>
      <w:r>
        <w:rPr/>
        <w:t>”) and the object code thereof.  For the purposes of this Agreement, the Source Code shall be interpreted as commonly understood in the computer software industry.  Without limiting the generality of the foregoing, the Source Code shall include the human readable form of the object code of Software and the related system documentation, including all comments and procedural codes, notes on the software architecture, computer program listings and other computer program documentation.</w:t>
      </w:r>
    </w:p>
    <w:p>
      <w:pPr>
        <w:pStyle w:val="List"/>
        <w:numPr>
          <w:ilvl w:val="0"/>
          <w:numId w:val="17"/>
        </w:numPr>
        <w:ind w:hanging="0" w:start="0"/>
        <w:rPr/>
      </w:pPr>
      <w:r>
        <w:rPr/>
        <w:t>(a) All documentation relating to the Software, including, but not limited to, the following (collectively, the “</w:t>
      </w:r>
      <w:r>
        <w:rPr>
          <w:u w:val="single"/>
        </w:rPr>
        <w:t>Documentation</w:t>
      </w:r>
      <w:r>
        <w:rPr/>
        <w:t>”), which exists as of the Closing, including (i) user, quality assurance, technical support, marketing and training documentation and all camera-ready text and art work relating to same; (ii) all materials useful for design and understanding of the Software (such as logic manuals, flow charts, and principals of operation); (iii) all machine-readable text or graphic files subject to display relating to the foregoing; and (iv) all blueprints, specifications, designs, drawings and operating data; and (b) to the extent such Documentation does not exist as of Closing, the Deliverables to be delivered pursuant to Section 4.3, when so delivered.</w:t>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pStyle w:val="BodyNumHang"/>
        <w:numPr>
          <w:ilvl w:val="0"/>
          <w:numId w:val="0"/>
        </w:numPr>
        <w:ind w:hanging="0" w:start="360" w:end="0"/>
        <w:rPr/>
      </w:pPr>
      <w:r>
        <w:rPr/>
      </w:r>
    </w:p>
    <w:p>
      <w:pPr>
        <w:pStyle w:val="CenteredHeading"/>
        <w:rPr/>
      </w:pPr>
      <w:r>
        <w:rPr/>
        <w:t>ATTACHMENT TO SCHEDULE 1.1(a)(i)</w:t>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fmt="decimal"/>
          <w:formProt w:val="false"/>
          <w:titlePg/>
          <w:textDirection w:val="lrTb"/>
          <w:docGrid w:type="default" w:linePitch="360" w:charSpace="0"/>
        </w:sectPr>
        <w:pStyle w:val="Normal"/>
        <w:rPr/>
      </w:pPr>
      <w:r>
        <w:rPr/>
      </w:r>
    </w:p>
    <w:p>
      <w:pPr>
        <w:pStyle w:val="CenteredHeading"/>
        <w:rPr/>
      </w:pPr>
      <w:r>
        <w:rPr/>
        <w:t>SCHEDULE 1.1(a)(ii)</w:t>
      </w:r>
    </w:p>
    <w:p>
      <w:pPr>
        <w:pStyle w:val="CenteredHeading"/>
        <w:rPr>
          <w:caps/>
          <w:u w:val="none"/>
        </w:rPr>
      </w:pPr>
      <w:r>
        <w:rPr/>
        <w:t>FUNCTIONAL SUMMARY OF SOFTWARE</w:t>
      </w:r>
    </w:p>
    <w:p>
      <w:pPr>
        <w:pStyle w:val="CenteredHeading"/>
        <w:rPr>
          <w:u w:val="none"/>
        </w:rPr>
      </w:pPr>
      <w:r>
        <w:rPr>
          <w:u w:val="none"/>
        </w:rPr>
        <w:t>OVERVIEW OF THE ENRON</w:t>
      </w:r>
    </w:p>
    <w:p>
      <w:pPr>
        <w:pStyle w:val="CenteredHeading"/>
        <w:spacing w:before="0" w:after="480"/>
        <w:rPr>
          <w:u w:val="none"/>
        </w:rPr>
      </w:pPr>
      <w:r>
        <w:rPr>
          <w:u w:val="none"/>
        </w:rPr>
        <w:t>ELECTRONIC DATA INTERCHANGE (EDI) HUB SYSTEM</w:t>
      </w:r>
    </w:p>
    <w:p>
      <w:pPr>
        <w:pStyle w:val="BodyText2"/>
        <w:rPr/>
      </w:pPr>
      <w:r>
        <w:rPr/>
        <w:t>The Enron Electronic Data Interchange (EDI) Hub System is a collection of business-to-business (B2B) software products that provides data transport, translation, transformation, intelligent transaction routing over the Internet, and Enron intranet reporting services.  This collection of software is integrated and includes, but is not limited to, (1) data format maps for each trading partner, for each transaction type, (2) communication software for sending and receiving data files, (3) provisioned network and telecommunications infrastructure for data distribution, (4) translation software to translate data files, (5) interface programs and applications (6) data interchange applications and database software that processes and routes data, (7) messaging software to notify trading partners of transaction status, etc.; (8) application software to administer transaction processing routines, trading partner status, etc. , (9) encryption and authentication software, (10) software related to ACH and /or other financial clearing activities, (11) operating system software, (12) system security and firewall software, etc.</w:t>
      </w:r>
    </w:p>
    <w:p>
      <w:pPr>
        <w:pStyle w:val="BodyText2"/>
        <w:rPr/>
      </w:pPr>
      <w:r>
        <w:rPr/>
        <w:t>Basically, the Enron EDI Hub System receives a data file from an Enron computer system, transforms and secures the data in that file, routes the file to a predefined network destination outside the company, and waits for an electronic acknowledgement from the trading partner’s computer system indicating the file was received.  The electronic acknowledgement is then forwarded to the Enron computer system that initiated the EDI process.</w:t>
      </w:r>
    </w:p>
    <w:p>
      <w:pPr>
        <w:pStyle w:val="BodyText2"/>
        <w:rPr/>
      </w:pPr>
      <w:r>
        <w:rPr/>
        <w:t>The Enron EDI Hub system is designed to handle all types of data transformations (i.e., translations from any type of data format to any type of data format); and it is designed to handle file transmissions going either direction (i.e., outbound from Enron to a trading partner, or inbound from a trading partner to an Enron business unit).</w:t>
      </w:r>
    </w:p>
    <w:p>
      <w:pPr>
        <w:pStyle w:val="BodyText2"/>
        <w:rPr/>
      </w:pPr>
      <w:r>
        <w:rPr/>
        <w:t>The Enron EDI Hub System is a hybrid system that uses both commercial third party licensed software and Enron custom developed software integrated in one heterogeneous environment.  Examples of the commercial third party licensed software include Oracle database software for relationship management and informational displays on Enron’s intranet, RMS/GEIS and Sterling Commerce/Gentran software for data mapping and translation tasks, and PGP software for data encryption tasks.  Enron’s custom-developed software is written in a variety of programming languages including C, Pearl, Java, and HTML.</w:t>
      </w:r>
    </w:p>
    <w:p>
      <w:pPr>
        <w:pStyle w:val="BodyText2"/>
        <w:rPr/>
      </w:pPr>
      <w:r>
        <w:rPr/>
        <w:t>The Enron EDI Hub System operates on a mixture of Sun and IBM hardware platforms that utilize their respective “Unix-like” operating systems.  IBM RISC/6000 processors are used for software development (Test), quality assurance (QA), disaster recovery, and production processing tasks.  Sun platforms are used for database management (archive), intranet reporting, and Internet (web) communication tasks.</w:t>
      </w:r>
    </w:p>
    <w:p>
      <w:pPr>
        <w:pStyle w:val="BodyText2"/>
        <w:rPr/>
      </w:pPr>
      <w:r>
        <w:rPr/>
        <w:t>The Enron EDI Hub System sends and receives approximately ninety-nine percent of its B2B files over the Internet, with the remainder over leased T-1 lines or over AT&amp;T Global Network Services’ private data communications network.</w:t>
      </w:r>
    </w:p>
    <w:p>
      <w:pPr>
        <w:pStyle w:val="BodyText2"/>
        <w:rPr/>
      </w:pPr>
      <w:r>
        <w:rPr/>
        <w:t>The following chart summarizes the nature of the functionality and trading partners being served by the Enron EDI Hub System.</w:t>
      </w:r>
    </w:p>
    <w:tbl>
      <w:tblPr>
        <w:tblW w:w="9467" w:type="dxa"/>
        <w:jc w:val="start"/>
        <w:tblInd w:w="-17" w:type="dxa"/>
        <w:tblLayout w:type="fixed"/>
        <w:tblCellMar>
          <w:top w:w="0" w:type="dxa"/>
          <w:start w:w="0" w:type="dxa"/>
          <w:bottom w:w="0" w:type="dxa"/>
          <w:end w:w="0" w:type="dxa"/>
        </w:tblCellMar>
      </w:tblPr>
      <w:tblGrid>
        <w:gridCol w:w="1097"/>
        <w:gridCol w:w="1620"/>
        <w:gridCol w:w="1800"/>
        <w:gridCol w:w="2430"/>
        <w:gridCol w:w="2520"/>
      </w:tblGrid>
      <w:tr>
        <w:trPr>
          <w:trHeight w:val="645" w:hRule="atLeast"/>
        </w:trPr>
        <w:tc>
          <w:tcPr>
            <w:tcW w:w="1097" w:type="dxa"/>
            <w:tcBorders>
              <w:bottom w:val="single" w:sz="8" w:space="0" w:color="000000"/>
            </w:tcBorders>
            <w:vAlign w:val="bottom"/>
          </w:tcPr>
          <w:p>
            <w:pPr>
              <w:pStyle w:val="Normal"/>
              <w:jc w:val="center"/>
              <w:rPr>
                <w:rFonts w:ascii="Arial" w:hAnsi="Arial" w:cs="Arial"/>
                <w:b/>
              </w:rPr>
            </w:pPr>
            <w:r>
              <w:rPr>
                <w:rFonts w:cs="Arial" w:ascii="Arial" w:hAnsi="Arial"/>
                <w:b/>
              </w:rPr>
              <w:t>Industry</w:t>
            </w:r>
          </w:p>
        </w:tc>
        <w:tc>
          <w:tcPr>
            <w:tcW w:w="1620" w:type="dxa"/>
            <w:tcBorders>
              <w:bottom w:val="single" w:sz="8" w:space="0" w:color="000000"/>
            </w:tcBorders>
            <w:vAlign w:val="bottom"/>
          </w:tcPr>
          <w:p>
            <w:pPr>
              <w:pStyle w:val="Normal"/>
              <w:jc w:val="center"/>
              <w:rPr>
                <w:rFonts w:ascii="Arial" w:hAnsi="Arial" w:cs="Arial"/>
                <w:b/>
              </w:rPr>
            </w:pPr>
            <w:r>
              <w:rPr>
                <w:rFonts w:cs="Arial" w:ascii="Arial" w:hAnsi="Arial"/>
                <w:b/>
              </w:rPr>
              <w:t>Approx. # of Internal Customers</w:t>
            </w:r>
          </w:p>
        </w:tc>
        <w:tc>
          <w:tcPr>
            <w:tcW w:w="1800" w:type="dxa"/>
            <w:tcBorders>
              <w:bottom w:val="single" w:sz="8" w:space="0" w:color="000000"/>
            </w:tcBorders>
            <w:vAlign w:val="bottom"/>
          </w:tcPr>
          <w:p>
            <w:pPr>
              <w:pStyle w:val="Normal"/>
              <w:jc w:val="center"/>
              <w:rPr>
                <w:rFonts w:ascii="Arial" w:hAnsi="Arial" w:cs="Arial"/>
                <w:b/>
              </w:rPr>
            </w:pPr>
            <w:r>
              <w:rPr>
                <w:rFonts w:cs="Arial" w:ascii="Arial" w:hAnsi="Arial"/>
                <w:b/>
              </w:rPr>
              <w:t>Approx. # of External Customers*</w:t>
            </w:r>
          </w:p>
        </w:tc>
        <w:tc>
          <w:tcPr>
            <w:tcW w:w="2430" w:type="dxa"/>
            <w:tcBorders>
              <w:bottom w:val="single" w:sz="8" w:space="0" w:color="000000"/>
            </w:tcBorders>
            <w:vAlign w:val="bottom"/>
          </w:tcPr>
          <w:p>
            <w:pPr>
              <w:pStyle w:val="Normal"/>
              <w:jc w:val="center"/>
              <w:rPr>
                <w:rFonts w:ascii="Arial" w:hAnsi="Arial" w:cs="Arial"/>
                <w:b/>
              </w:rPr>
            </w:pPr>
            <w:r>
              <w:rPr>
                <w:rFonts w:cs="Arial" w:ascii="Arial" w:hAnsi="Arial"/>
                <w:b/>
              </w:rPr>
              <w:t>Outbound Transactions</w:t>
            </w:r>
          </w:p>
        </w:tc>
        <w:tc>
          <w:tcPr>
            <w:tcW w:w="2520" w:type="dxa"/>
            <w:tcBorders>
              <w:bottom w:val="single" w:sz="8" w:space="0" w:color="000000"/>
            </w:tcBorders>
            <w:vAlign w:val="bottom"/>
          </w:tcPr>
          <w:p>
            <w:pPr>
              <w:pStyle w:val="Normal"/>
              <w:jc w:val="center"/>
              <w:rPr>
                <w:rFonts w:ascii="Arial" w:hAnsi="Arial" w:cs="Arial"/>
                <w:b/>
              </w:rPr>
            </w:pPr>
            <w:r>
              <w:rPr>
                <w:rFonts w:cs="Arial" w:ascii="Arial" w:hAnsi="Arial"/>
                <w:b/>
              </w:rPr>
              <w:t>Inbound Transactions</w:t>
            </w:r>
          </w:p>
        </w:tc>
      </w:tr>
      <w:tr>
        <w:trPr>
          <w:trHeight w:val="300" w:hRule="atLeast"/>
        </w:trPr>
        <w:tc>
          <w:tcPr>
            <w:tcW w:w="1097" w:type="dxa"/>
            <w:tcBorders/>
            <w:vAlign w:val="bottom"/>
          </w:tcPr>
          <w:p>
            <w:pPr>
              <w:pStyle w:val="Normal"/>
              <w:rPr>
                <w:rFonts w:ascii="Arial" w:hAnsi="Arial" w:cs="Arial"/>
              </w:rPr>
            </w:pPr>
            <w:r>
              <w:rPr>
                <w:rFonts w:cs="Arial" w:ascii="Arial" w:hAnsi="Arial"/>
              </w:rPr>
              <w:t>Gas</w:t>
            </w:r>
          </w:p>
        </w:tc>
        <w:tc>
          <w:tcPr>
            <w:tcW w:w="1620" w:type="dxa"/>
            <w:tcBorders/>
            <w:vAlign w:val="bottom"/>
          </w:tcPr>
          <w:p>
            <w:pPr>
              <w:pStyle w:val="Normal"/>
              <w:jc w:val="center"/>
              <w:rPr>
                <w:rFonts w:ascii="Arial" w:hAnsi="Arial" w:cs="Arial"/>
              </w:rPr>
            </w:pPr>
            <w:r>
              <w:rPr>
                <w:rFonts w:cs="Arial" w:ascii="Arial" w:hAnsi="Arial"/>
              </w:rPr>
              <w:t>5</w:t>
            </w:r>
          </w:p>
        </w:tc>
        <w:tc>
          <w:tcPr>
            <w:tcW w:w="1800" w:type="dxa"/>
            <w:tcBorders/>
            <w:vAlign w:val="bottom"/>
          </w:tcPr>
          <w:p>
            <w:pPr>
              <w:pStyle w:val="Normal"/>
              <w:jc w:val="center"/>
              <w:rPr>
                <w:rFonts w:ascii="Arial" w:hAnsi="Arial" w:cs="Arial"/>
              </w:rPr>
            </w:pPr>
            <w:r>
              <w:rPr>
                <w:rFonts w:cs="Arial" w:ascii="Arial" w:hAnsi="Arial"/>
              </w:rPr>
              <w:t>40</w:t>
            </w:r>
          </w:p>
        </w:tc>
        <w:tc>
          <w:tcPr>
            <w:tcW w:w="2430" w:type="dxa"/>
            <w:tcBorders/>
            <w:vAlign w:val="bottom"/>
          </w:tcPr>
          <w:p>
            <w:pPr>
              <w:pStyle w:val="Normal"/>
              <w:rPr>
                <w:rFonts w:ascii="Arial" w:hAnsi="Arial" w:cs="Arial"/>
              </w:rPr>
            </w:pPr>
            <w:r>
              <w:rPr>
                <w:rFonts w:cs="Arial" w:ascii="Arial" w:hAnsi="Arial"/>
              </w:rPr>
              <w:t>Nominations</w:t>
            </w:r>
          </w:p>
        </w:tc>
        <w:tc>
          <w:tcPr>
            <w:tcW w:w="2520" w:type="dxa"/>
            <w:tcBorders/>
            <w:vAlign w:val="bottom"/>
          </w:tcPr>
          <w:p>
            <w:pPr>
              <w:pStyle w:val="Normal"/>
              <w:rPr>
                <w:rFonts w:ascii="Arial" w:hAnsi="Arial" w:cs="Arial"/>
              </w:rPr>
            </w:pPr>
            <w:r>
              <w:rPr>
                <w:rFonts w:cs="Arial" w:ascii="Arial" w:hAnsi="Arial"/>
              </w:rPr>
              <w:t>Schedule Quantities</w:t>
            </w:r>
          </w:p>
        </w:tc>
      </w:tr>
      <w:tr>
        <w:trPr>
          <w:trHeight w:val="300" w:hRule="atLeast"/>
        </w:trPr>
        <w:tc>
          <w:tcPr>
            <w:tcW w:w="1097" w:type="dxa"/>
            <w:tcBorders/>
            <w:vAlign w:val="bottom"/>
          </w:tcPr>
          <w:p>
            <w:pPr>
              <w:pStyle w:val="Normal"/>
              <w:snapToGrid w:val="false"/>
              <w:rPr>
                <w:rFonts w:ascii="Arial" w:hAnsi="Arial" w:cs="Arial"/>
                <w:sz w:val="20"/>
              </w:rPr>
            </w:pPr>
            <w:r>
              <w:rPr>
                <w:rFonts w:cs="Arial" w:ascii="Arial" w:hAnsi="Arial"/>
                <w:sz w:val="20"/>
              </w:rPr>
            </w:r>
          </w:p>
        </w:tc>
        <w:tc>
          <w:tcPr>
            <w:tcW w:w="1620" w:type="dxa"/>
            <w:tcBorders/>
            <w:vAlign w:val="bottom"/>
          </w:tcPr>
          <w:p>
            <w:pPr>
              <w:pStyle w:val="Normal"/>
              <w:snapToGrid w:val="false"/>
              <w:jc w:val="center"/>
              <w:rPr>
                <w:rFonts w:ascii="Arial" w:hAnsi="Arial" w:cs="Arial"/>
              </w:rPr>
            </w:pPr>
            <w:r>
              <w:rPr>
                <w:rFonts w:cs="Arial" w:ascii="Arial" w:hAnsi="Arial"/>
              </w:rPr>
            </w:r>
          </w:p>
        </w:tc>
        <w:tc>
          <w:tcPr>
            <w:tcW w:w="1800" w:type="dxa"/>
            <w:tcBorders/>
            <w:vAlign w:val="bottom"/>
          </w:tcPr>
          <w:p>
            <w:pPr>
              <w:pStyle w:val="Normal"/>
              <w:snapToGrid w:val="false"/>
              <w:jc w:val="center"/>
              <w:rPr>
                <w:rFonts w:ascii="Arial" w:hAnsi="Arial" w:cs="Arial"/>
              </w:rPr>
            </w:pPr>
            <w:r>
              <w:rPr>
                <w:rFonts w:cs="Arial" w:ascii="Arial" w:hAnsi="Arial"/>
              </w:rPr>
            </w:r>
          </w:p>
        </w:tc>
        <w:tc>
          <w:tcPr>
            <w:tcW w:w="2430" w:type="dxa"/>
            <w:tcBorders/>
            <w:vAlign w:val="bottom"/>
          </w:tcPr>
          <w:p>
            <w:pPr>
              <w:pStyle w:val="Normal"/>
              <w:rPr>
                <w:rFonts w:ascii="Arial" w:hAnsi="Arial" w:cs="Arial"/>
              </w:rPr>
            </w:pPr>
            <w:r>
              <w:rPr>
                <w:rFonts w:cs="Arial" w:ascii="Arial" w:hAnsi="Arial"/>
              </w:rPr>
              <w:t>Quick Response</w:t>
            </w:r>
          </w:p>
        </w:tc>
        <w:tc>
          <w:tcPr>
            <w:tcW w:w="2520" w:type="dxa"/>
            <w:tcBorders/>
            <w:vAlign w:val="bottom"/>
          </w:tcPr>
          <w:p>
            <w:pPr>
              <w:pStyle w:val="Normal"/>
              <w:rPr>
                <w:rFonts w:ascii="Arial" w:hAnsi="Arial" w:cs="Arial"/>
              </w:rPr>
            </w:pPr>
            <w:r>
              <w:rPr>
                <w:rFonts w:cs="Arial" w:ascii="Arial" w:hAnsi="Arial"/>
              </w:rPr>
              <w:t>Capacity</w:t>
            </w:r>
          </w:p>
        </w:tc>
      </w:tr>
      <w:tr>
        <w:trPr>
          <w:trHeight w:val="300" w:hRule="atLeast"/>
        </w:trPr>
        <w:tc>
          <w:tcPr>
            <w:tcW w:w="1097" w:type="dxa"/>
            <w:tcBorders/>
            <w:vAlign w:val="bottom"/>
          </w:tcPr>
          <w:p>
            <w:pPr>
              <w:pStyle w:val="Normal"/>
              <w:snapToGrid w:val="false"/>
              <w:rPr>
                <w:rFonts w:ascii="Arial" w:hAnsi="Arial" w:cs="Arial"/>
                <w:sz w:val="20"/>
              </w:rPr>
            </w:pPr>
            <w:r>
              <w:rPr>
                <w:rFonts w:cs="Arial" w:ascii="Arial" w:hAnsi="Arial"/>
                <w:sz w:val="20"/>
              </w:rPr>
            </w:r>
          </w:p>
        </w:tc>
        <w:tc>
          <w:tcPr>
            <w:tcW w:w="1620" w:type="dxa"/>
            <w:tcBorders/>
            <w:vAlign w:val="bottom"/>
          </w:tcPr>
          <w:p>
            <w:pPr>
              <w:pStyle w:val="Normal"/>
              <w:snapToGrid w:val="false"/>
              <w:jc w:val="center"/>
              <w:rPr>
                <w:rFonts w:ascii="Arial" w:hAnsi="Arial" w:cs="Arial"/>
              </w:rPr>
            </w:pPr>
            <w:r>
              <w:rPr>
                <w:rFonts w:cs="Arial" w:ascii="Arial" w:hAnsi="Arial"/>
              </w:rPr>
            </w:r>
          </w:p>
        </w:tc>
        <w:tc>
          <w:tcPr>
            <w:tcW w:w="1800" w:type="dxa"/>
            <w:tcBorders/>
            <w:vAlign w:val="bottom"/>
          </w:tcPr>
          <w:p>
            <w:pPr>
              <w:pStyle w:val="Normal"/>
              <w:snapToGrid w:val="false"/>
              <w:jc w:val="center"/>
              <w:rPr>
                <w:rFonts w:ascii="Arial" w:hAnsi="Arial" w:cs="Arial"/>
              </w:rPr>
            </w:pPr>
            <w:r>
              <w:rPr>
                <w:rFonts w:cs="Arial" w:ascii="Arial" w:hAnsi="Arial"/>
              </w:rPr>
            </w:r>
          </w:p>
        </w:tc>
        <w:tc>
          <w:tcPr>
            <w:tcW w:w="2430" w:type="dxa"/>
            <w:tcBorders/>
            <w:vAlign w:val="bottom"/>
          </w:tcPr>
          <w:p>
            <w:pPr>
              <w:pStyle w:val="Normal"/>
              <w:snapToGrid w:val="false"/>
              <w:rPr>
                <w:rFonts w:ascii="Arial" w:hAnsi="Arial" w:cs="Arial"/>
              </w:rPr>
            </w:pPr>
            <w:r>
              <w:rPr>
                <w:rFonts w:cs="Arial" w:ascii="Arial" w:hAnsi="Arial"/>
              </w:rPr>
            </w:r>
          </w:p>
        </w:tc>
        <w:tc>
          <w:tcPr>
            <w:tcW w:w="2520" w:type="dxa"/>
            <w:tcBorders/>
            <w:vAlign w:val="bottom"/>
          </w:tcPr>
          <w:p>
            <w:pPr>
              <w:pStyle w:val="Normal"/>
              <w:rPr>
                <w:rFonts w:ascii="Arial" w:hAnsi="Arial" w:cs="Arial"/>
              </w:rPr>
            </w:pPr>
            <w:r>
              <w:rPr>
                <w:rFonts w:cs="Arial" w:ascii="Arial" w:hAnsi="Arial"/>
              </w:rPr>
              <w:t>Meter Statements</w:t>
            </w:r>
          </w:p>
        </w:tc>
      </w:tr>
      <w:tr>
        <w:trPr>
          <w:trHeight w:val="300" w:hRule="atLeast"/>
        </w:trPr>
        <w:tc>
          <w:tcPr>
            <w:tcW w:w="1097" w:type="dxa"/>
            <w:tcBorders/>
            <w:vAlign w:val="bottom"/>
          </w:tcPr>
          <w:p>
            <w:pPr>
              <w:pStyle w:val="Normal"/>
              <w:snapToGrid w:val="false"/>
              <w:rPr>
                <w:rFonts w:ascii="Arial" w:hAnsi="Arial" w:cs="Arial"/>
                <w:sz w:val="20"/>
              </w:rPr>
            </w:pPr>
            <w:r>
              <w:rPr>
                <w:rFonts w:cs="Arial" w:ascii="Arial" w:hAnsi="Arial"/>
                <w:sz w:val="20"/>
              </w:rPr>
            </w:r>
          </w:p>
        </w:tc>
        <w:tc>
          <w:tcPr>
            <w:tcW w:w="1620" w:type="dxa"/>
            <w:tcBorders/>
            <w:vAlign w:val="bottom"/>
          </w:tcPr>
          <w:p>
            <w:pPr>
              <w:pStyle w:val="Normal"/>
              <w:snapToGrid w:val="false"/>
              <w:jc w:val="center"/>
              <w:rPr>
                <w:rFonts w:ascii="Arial" w:hAnsi="Arial" w:cs="Arial"/>
              </w:rPr>
            </w:pPr>
            <w:r>
              <w:rPr>
                <w:rFonts w:cs="Arial" w:ascii="Arial" w:hAnsi="Arial"/>
              </w:rPr>
            </w:r>
          </w:p>
        </w:tc>
        <w:tc>
          <w:tcPr>
            <w:tcW w:w="1800" w:type="dxa"/>
            <w:tcBorders/>
            <w:vAlign w:val="bottom"/>
          </w:tcPr>
          <w:p>
            <w:pPr>
              <w:pStyle w:val="Normal"/>
              <w:snapToGrid w:val="false"/>
              <w:jc w:val="center"/>
              <w:rPr>
                <w:rFonts w:ascii="Arial" w:hAnsi="Arial" w:cs="Arial"/>
              </w:rPr>
            </w:pPr>
            <w:r>
              <w:rPr>
                <w:rFonts w:cs="Arial" w:ascii="Arial" w:hAnsi="Arial"/>
              </w:rPr>
            </w:r>
          </w:p>
        </w:tc>
        <w:tc>
          <w:tcPr>
            <w:tcW w:w="2430" w:type="dxa"/>
            <w:tcBorders/>
            <w:vAlign w:val="bottom"/>
          </w:tcPr>
          <w:p>
            <w:pPr>
              <w:pStyle w:val="Normal"/>
              <w:snapToGrid w:val="false"/>
              <w:rPr>
                <w:rFonts w:ascii="Arial" w:hAnsi="Arial" w:cs="Arial"/>
              </w:rPr>
            </w:pPr>
            <w:r>
              <w:rPr>
                <w:rFonts w:cs="Arial" w:ascii="Arial" w:hAnsi="Arial"/>
              </w:rPr>
            </w:r>
          </w:p>
        </w:tc>
        <w:tc>
          <w:tcPr>
            <w:tcW w:w="2520" w:type="dxa"/>
            <w:tcBorders/>
            <w:vAlign w:val="bottom"/>
          </w:tcPr>
          <w:p>
            <w:pPr>
              <w:pStyle w:val="Normal"/>
              <w:rPr>
                <w:rFonts w:ascii="Arial" w:hAnsi="Arial" w:cs="Arial"/>
              </w:rPr>
            </w:pPr>
            <w:r>
              <w:rPr>
                <w:rFonts w:cs="Arial" w:ascii="Arial" w:hAnsi="Arial"/>
              </w:rPr>
              <w:t>Imbalance</w:t>
            </w:r>
          </w:p>
        </w:tc>
      </w:tr>
      <w:tr>
        <w:trPr>
          <w:trHeight w:val="300" w:hRule="atLeast"/>
        </w:trPr>
        <w:tc>
          <w:tcPr>
            <w:tcW w:w="1097" w:type="dxa"/>
            <w:tcBorders/>
            <w:vAlign w:val="bottom"/>
          </w:tcPr>
          <w:p>
            <w:pPr>
              <w:pStyle w:val="Normal"/>
              <w:snapToGrid w:val="false"/>
              <w:rPr>
                <w:rFonts w:ascii="Arial" w:hAnsi="Arial" w:cs="Arial"/>
                <w:sz w:val="20"/>
              </w:rPr>
            </w:pPr>
            <w:r>
              <w:rPr>
                <w:rFonts w:cs="Arial" w:ascii="Arial" w:hAnsi="Arial"/>
                <w:sz w:val="20"/>
              </w:rPr>
            </w:r>
          </w:p>
        </w:tc>
        <w:tc>
          <w:tcPr>
            <w:tcW w:w="1620" w:type="dxa"/>
            <w:tcBorders/>
            <w:vAlign w:val="bottom"/>
          </w:tcPr>
          <w:p>
            <w:pPr>
              <w:pStyle w:val="Normal"/>
              <w:snapToGrid w:val="false"/>
              <w:jc w:val="center"/>
              <w:rPr>
                <w:rFonts w:ascii="Arial" w:hAnsi="Arial" w:cs="Arial"/>
              </w:rPr>
            </w:pPr>
            <w:r>
              <w:rPr>
                <w:rFonts w:cs="Arial" w:ascii="Arial" w:hAnsi="Arial"/>
              </w:rPr>
            </w:r>
          </w:p>
        </w:tc>
        <w:tc>
          <w:tcPr>
            <w:tcW w:w="1800" w:type="dxa"/>
            <w:tcBorders/>
            <w:vAlign w:val="bottom"/>
          </w:tcPr>
          <w:p>
            <w:pPr>
              <w:pStyle w:val="Normal"/>
              <w:snapToGrid w:val="false"/>
              <w:jc w:val="center"/>
              <w:rPr>
                <w:rFonts w:ascii="Arial" w:hAnsi="Arial" w:cs="Arial"/>
              </w:rPr>
            </w:pPr>
            <w:r>
              <w:rPr>
                <w:rFonts w:cs="Arial" w:ascii="Arial" w:hAnsi="Arial"/>
              </w:rPr>
            </w:r>
          </w:p>
        </w:tc>
        <w:tc>
          <w:tcPr>
            <w:tcW w:w="2430" w:type="dxa"/>
            <w:tcBorders/>
            <w:vAlign w:val="bottom"/>
          </w:tcPr>
          <w:p>
            <w:pPr>
              <w:pStyle w:val="Normal"/>
              <w:snapToGrid w:val="false"/>
              <w:rPr>
                <w:rFonts w:ascii="Arial" w:hAnsi="Arial" w:cs="Arial"/>
              </w:rPr>
            </w:pPr>
            <w:r>
              <w:rPr>
                <w:rFonts w:cs="Arial" w:ascii="Arial" w:hAnsi="Arial"/>
              </w:rPr>
            </w:r>
          </w:p>
        </w:tc>
        <w:tc>
          <w:tcPr>
            <w:tcW w:w="2520" w:type="dxa"/>
            <w:tcBorders/>
            <w:vAlign w:val="bottom"/>
          </w:tcPr>
          <w:p>
            <w:pPr>
              <w:pStyle w:val="Normal"/>
              <w:snapToGrid w:val="false"/>
              <w:rPr>
                <w:rFonts w:ascii="Arial" w:hAnsi="Arial" w:cs="Arial"/>
              </w:rPr>
            </w:pPr>
            <w:r>
              <w:rPr>
                <w:rFonts w:cs="Arial" w:ascii="Arial" w:hAnsi="Arial"/>
              </w:rPr>
            </w:r>
          </w:p>
        </w:tc>
      </w:tr>
      <w:tr>
        <w:trPr>
          <w:trHeight w:val="300" w:hRule="atLeast"/>
        </w:trPr>
        <w:tc>
          <w:tcPr>
            <w:tcW w:w="1097" w:type="dxa"/>
            <w:tcBorders/>
            <w:vAlign w:val="bottom"/>
          </w:tcPr>
          <w:p>
            <w:pPr>
              <w:pStyle w:val="Normal"/>
              <w:snapToGrid w:val="false"/>
              <w:rPr>
                <w:rFonts w:ascii="Arial" w:hAnsi="Arial" w:cs="Arial"/>
                <w:sz w:val="20"/>
              </w:rPr>
            </w:pPr>
            <w:r>
              <w:rPr>
                <w:rFonts w:cs="Arial" w:ascii="Arial" w:hAnsi="Arial"/>
                <w:sz w:val="20"/>
              </w:rPr>
            </w:r>
          </w:p>
        </w:tc>
        <w:tc>
          <w:tcPr>
            <w:tcW w:w="1620" w:type="dxa"/>
            <w:tcBorders/>
            <w:vAlign w:val="bottom"/>
          </w:tcPr>
          <w:p>
            <w:pPr>
              <w:pStyle w:val="Normal"/>
              <w:snapToGrid w:val="false"/>
              <w:jc w:val="center"/>
              <w:rPr>
                <w:rFonts w:ascii="Arial" w:hAnsi="Arial" w:cs="Arial"/>
              </w:rPr>
            </w:pPr>
            <w:r>
              <w:rPr>
                <w:rFonts w:cs="Arial" w:ascii="Arial" w:hAnsi="Arial"/>
              </w:rPr>
            </w:r>
          </w:p>
        </w:tc>
        <w:tc>
          <w:tcPr>
            <w:tcW w:w="1800" w:type="dxa"/>
            <w:tcBorders/>
            <w:vAlign w:val="bottom"/>
          </w:tcPr>
          <w:p>
            <w:pPr>
              <w:pStyle w:val="Normal"/>
              <w:snapToGrid w:val="false"/>
              <w:jc w:val="center"/>
              <w:rPr>
                <w:rFonts w:ascii="Arial" w:hAnsi="Arial" w:cs="Arial"/>
              </w:rPr>
            </w:pPr>
            <w:r>
              <w:rPr>
                <w:rFonts w:cs="Arial" w:ascii="Arial" w:hAnsi="Arial"/>
              </w:rPr>
            </w:r>
          </w:p>
        </w:tc>
        <w:tc>
          <w:tcPr>
            <w:tcW w:w="2430" w:type="dxa"/>
            <w:tcBorders/>
            <w:vAlign w:val="bottom"/>
          </w:tcPr>
          <w:p>
            <w:pPr>
              <w:pStyle w:val="Normal"/>
              <w:snapToGrid w:val="false"/>
              <w:rPr>
                <w:rFonts w:ascii="Arial" w:hAnsi="Arial" w:cs="Arial"/>
              </w:rPr>
            </w:pPr>
            <w:r>
              <w:rPr>
                <w:rFonts w:cs="Arial" w:ascii="Arial" w:hAnsi="Arial"/>
              </w:rPr>
            </w:r>
          </w:p>
        </w:tc>
        <w:tc>
          <w:tcPr>
            <w:tcW w:w="2520" w:type="dxa"/>
            <w:tcBorders/>
            <w:vAlign w:val="bottom"/>
          </w:tcPr>
          <w:p>
            <w:pPr>
              <w:pStyle w:val="Normal"/>
              <w:snapToGrid w:val="false"/>
              <w:rPr>
                <w:rFonts w:ascii="Arial" w:hAnsi="Arial" w:cs="Arial"/>
              </w:rPr>
            </w:pPr>
            <w:r>
              <w:rPr>
                <w:rFonts w:cs="Arial" w:ascii="Arial" w:hAnsi="Arial"/>
              </w:rPr>
            </w:r>
          </w:p>
        </w:tc>
      </w:tr>
      <w:tr>
        <w:trPr>
          <w:trHeight w:val="300" w:hRule="atLeast"/>
        </w:trPr>
        <w:tc>
          <w:tcPr>
            <w:tcW w:w="1097" w:type="dxa"/>
            <w:tcBorders/>
            <w:vAlign w:val="bottom"/>
          </w:tcPr>
          <w:p>
            <w:pPr>
              <w:pStyle w:val="Normal"/>
              <w:rPr>
                <w:rFonts w:ascii="Arial" w:hAnsi="Arial" w:cs="Arial"/>
              </w:rPr>
            </w:pPr>
            <w:r>
              <w:rPr>
                <w:rFonts w:cs="Arial" w:ascii="Arial" w:hAnsi="Arial"/>
              </w:rPr>
              <w:t>Electric</w:t>
            </w:r>
          </w:p>
        </w:tc>
        <w:tc>
          <w:tcPr>
            <w:tcW w:w="1620" w:type="dxa"/>
            <w:tcBorders/>
            <w:vAlign w:val="bottom"/>
          </w:tcPr>
          <w:p>
            <w:pPr>
              <w:pStyle w:val="Normal"/>
              <w:jc w:val="center"/>
              <w:rPr>
                <w:rFonts w:ascii="Arial" w:hAnsi="Arial" w:cs="Arial"/>
              </w:rPr>
            </w:pPr>
            <w:r>
              <w:rPr>
                <w:rFonts w:cs="Arial" w:ascii="Arial" w:hAnsi="Arial"/>
              </w:rPr>
              <w:t>4</w:t>
            </w:r>
          </w:p>
        </w:tc>
        <w:tc>
          <w:tcPr>
            <w:tcW w:w="1800" w:type="dxa"/>
            <w:tcBorders/>
            <w:vAlign w:val="bottom"/>
          </w:tcPr>
          <w:p>
            <w:pPr>
              <w:pStyle w:val="Normal"/>
              <w:jc w:val="center"/>
              <w:rPr>
                <w:rFonts w:ascii="Arial" w:hAnsi="Arial" w:cs="Arial"/>
              </w:rPr>
            </w:pPr>
            <w:r>
              <w:rPr>
                <w:rFonts w:cs="Arial" w:ascii="Arial" w:hAnsi="Arial"/>
              </w:rPr>
              <w:t>20</w:t>
            </w:r>
          </w:p>
        </w:tc>
        <w:tc>
          <w:tcPr>
            <w:tcW w:w="2430" w:type="dxa"/>
            <w:tcBorders/>
            <w:vAlign w:val="bottom"/>
          </w:tcPr>
          <w:p>
            <w:pPr>
              <w:pStyle w:val="Normal"/>
              <w:rPr>
                <w:rFonts w:ascii="Arial" w:hAnsi="Arial" w:cs="Arial"/>
              </w:rPr>
            </w:pPr>
            <w:r>
              <w:rPr>
                <w:rFonts w:cs="Arial" w:ascii="Arial" w:hAnsi="Arial"/>
              </w:rPr>
              <w:t>Enrollments</w:t>
            </w:r>
          </w:p>
        </w:tc>
        <w:tc>
          <w:tcPr>
            <w:tcW w:w="2520" w:type="dxa"/>
            <w:tcBorders/>
            <w:vAlign w:val="bottom"/>
          </w:tcPr>
          <w:p>
            <w:pPr>
              <w:pStyle w:val="Normal"/>
              <w:rPr>
                <w:rFonts w:ascii="Arial" w:hAnsi="Arial" w:cs="Arial"/>
              </w:rPr>
            </w:pPr>
            <w:r>
              <w:rPr>
                <w:rFonts w:cs="Arial" w:ascii="Arial" w:hAnsi="Arial"/>
              </w:rPr>
              <w:t>Meter Info</w:t>
            </w:r>
          </w:p>
        </w:tc>
      </w:tr>
      <w:tr>
        <w:trPr>
          <w:trHeight w:val="300" w:hRule="atLeast"/>
        </w:trPr>
        <w:tc>
          <w:tcPr>
            <w:tcW w:w="1097" w:type="dxa"/>
            <w:tcBorders/>
            <w:vAlign w:val="bottom"/>
          </w:tcPr>
          <w:p>
            <w:pPr>
              <w:pStyle w:val="Normal"/>
              <w:snapToGrid w:val="false"/>
              <w:rPr>
                <w:rFonts w:ascii="Arial" w:hAnsi="Arial" w:cs="Arial"/>
                <w:sz w:val="20"/>
              </w:rPr>
            </w:pPr>
            <w:r>
              <w:rPr>
                <w:rFonts w:cs="Arial" w:ascii="Arial" w:hAnsi="Arial"/>
                <w:sz w:val="20"/>
              </w:rPr>
            </w:r>
          </w:p>
        </w:tc>
        <w:tc>
          <w:tcPr>
            <w:tcW w:w="1620" w:type="dxa"/>
            <w:tcBorders/>
            <w:vAlign w:val="bottom"/>
          </w:tcPr>
          <w:p>
            <w:pPr>
              <w:pStyle w:val="Normal"/>
              <w:snapToGrid w:val="false"/>
              <w:jc w:val="center"/>
              <w:rPr>
                <w:rFonts w:ascii="Arial" w:hAnsi="Arial" w:cs="Arial"/>
              </w:rPr>
            </w:pPr>
            <w:r>
              <w:rPr>
                <w:rFonts w:cs="Arial" w:ascii="Arial" w:hAnsi="Arial"/>
              </w:rPr>
            </w:r>
          </w:p>
        </w:tc>
        <w:tc>
          <w:tcPr>
            <w:tcW w:w="1800" w:type="dxa"/>
            <w:tcBorders/>
            <w:vAlign w:val="bottom"/>
          </w:tcPr>
          <w:p>
            <w:pPr>
              <w:pStyle w:val="Normal"/>
              <w:snapToGrid w:val="false"/>
              <w:jc w:val="center"/>
              <w:rPr>
                <w:rFonts w:ascii="Arial" w:hAnsi="Arial" w:cs="Arial"/>
              </w:rPr>
            </w:pPr>
            <w:r>
              <w:rPr>
                <w:rFonts w:cs="Arial" w:ascii="Arial" w:hAnsi="Arial"/>
              </w:rPr>
            </w:r>
          </w:p>
        </w:tc>
        <w:tc>
          <w:tcPr>
            <w:tcW w:w="2430" w:type="dxa"/>
            <w:tcBorders/>
            <w:vAlign w:val="bottom"/>
          </w:tcPr>
          <w:p>
            <w:pPr>
              <w:pStyle w:val="Normal"/>
              <w:rPr>
                <w:rFonts w:ascii="Arial" w:hAnsi="Arial" w:cs="Arial"/>
              </w:rPr>
            </w:pPr>
            <w:r>
              <w:rPr>
                <w:rFonts w:cs="Arial" w:ascii="Arial" w:hAnsi="Arial"/>
              </w:rPr>
              <w:t>Terminations</w:t>
            </w:r>
          </w:p>
        </w:tc>
        <w:tc>
          <w:tcPr>
            <w:tcW w:w="2520" w:type="dxa"/>
            <w:tcBorders/>
            <w:vAlign w:val="bottom"/>
          </w:tcPr>
          <w:p>
            <w:pPr>
              <w:pStyle w:val="Normal"/>
              <w:rPr>
                <w:rFonts w:ascii="Arial" w:hAnsi="Arial" w:cs="Arial"/>
              </w:rPr>
            </w:pPr>
            <w:r>
              <w:rPr>
                <w:rFonts w:cs="Arial" w:ascii="Arial" w:hAnsi="Arial"/>
              </w:rPr>
              <w:t>Usage</w:t>
            </w:r>
          </w:p>
        </w:tc>
      </w:tr>
      <w:tr>
        <w:trPr>
          <w:trHeight w:val="300" w:hRule="atLeast"/>
        </w:trPr>
        <w:tc>
          <w:tcPr>
            <w:tcW w:w="1097" w:type="dxa"/>
            <w:tcBorders/>
            <w:vAlign w:val="bottom"/>
          </w:tcPr>
          <w:p>
            <w:pPr>
              <w:pStyle w:val="Normal"/>
              <w:snapToGrid w:val="false"/>
              <w:rPr>
                <w:rFonts w:ascii="Arial" w:hAnsi="Arial" w:cs="Arial"/>
                <w:sz w:val="20"/>
              </w:rPr>
            </w:pPr>
            <w:r>
              <w:rPr>
                <w:rFonts w:cs="Arial" w:ascii="Arial" w:hAnsi="Arial"/>
                <w:sz w:val="20"/>
              </w:rPr>
            </w:r>
          </w:p>
        </w:tc>
        <w:tc>
          <w:tcPr>
            <w:tcW w:w="1620" w:type="dxa"/>
            <w:tcBorders/>
            <w:vAlign w:val="bottom"/>
          </w:tcPr>
          <w:p>
            <w:pPr>
              <w:pStyle w:val="Normal"/>
              <w:snapToGrid w:val="false"/>
              <w:jc w:val="center"/>
              <w:rPr>
                <w:rFonts w:ascii="Arial" w:hAnsi="Arial" w:cs="Arial"/>
              </w:rPr>
            </w:pPr>
            <w:r>
              <w:rPr>
                <w:rFonts w:cs="Arial" w:ascii="Arial" w:hAnsi="Arial"/>
              </w:rPr>
            </w:r>
          </w:p>
        </w:tc>
        <w:tc>
          <w:tcPr>
            <w:tcW w:w="1800" w:type="dxa"/>
            <w:tcBorders/>
            <w:vAlign w:val="bottom"/>
          </w:tcPr>
          <w:p>
            <w:pPr>
              <w:pStyle w:val="Normal"/>
              <w:snapToGrid w:val="false"/>
              <w:jc w:val="center"/>
              <w:rPr>
                <w:rFonts w:ascii="Arial" w:hAnsi="Arial" w:cs="Arial"/>
              </w:rPr>
            </w:pPr>
            <w:r>
              <w:rPr>
                <w:rFonts w:cs="Arial" w:ascii="Arial" w:hAnsi="Arial"/>
              </w:rPr>
            </w:r>
          </w:p>
        </w:tc>
        <w:tc>
          <w:tcPr>
            <w:tcW w:w="2430" w:type="dxa"/>
            <w:tcBorders/>
            <w:vAlign w:val="bottom"/>
          </w:tcPr>
          <w:p>
            <w:pPr>
              <w:pStyle w:val="Normal"/>
              <w:rPr>
                <w:rFonts w:ascii="Arial" w:hAnsi="Arial" w:cs="Arial"/>
              </w:rPr>
            </w:pPr>
            <w:r>
              <w:rPr>
                <w:rFonts w:cs="Arial" w:ascii="Arial" w:hAnsi="Arial"/>
              </w:rPr>
              <w:t>Switch Notice</w:t>
            </w:r>
          </w:p>
        </w:tc>
        <w:tc>
          <w:tcPr>
            <w:tcW w:w="2520" w:type="dxa"/>
            <w:tcBorders/>
            <w:vAlign w:val="bottom"/>
          </w:tcPr>
          <w:p>
            <w:pPr>
              <w:pStyle w:val="Normal"/>
              <w:rPr>
                <w:rFonts w:ascii="Arial" w:hAnsi="Arial" w:cs="Arial"/>
              </w:rPr>
            </w:pPr>
            <w:r>
              <w:rPr>
                <w:rFonts w:cs="Arial" w:ascii="Arial" w:hAnsi="Arial"/>
              </w:rPr>
              <w:t>Payments</w:t>
            </w:r>
          </w:p>
        </w:tc>
      </w:tr>
      <w:tr>
        <w:trPr>
          <w:trHeight w:val="300" w:hRule="atLeast"/>
        </w:trPr>
        <w:tc>
          <w:tcPr>
            <w:tcW w:w="1097" w:type="dxa"/>
            <w:tcBorders/>
            <w:vAlign w:val="bottom"/>
          </w:tcPr>
          <w:p>
            <w:pPr>
              <w:pStyle w:val="Normal"/>
              <w:snapToGrid w:val="false"/>
              <w:rPr>
                <w:rFonts w:ascii="Arial" w:hAnsi="Arial" w:cs="Arial"/>
                <w:sz w:val="20"/>
              </w:rPr>
            </w:pPr>
            <w:r>
              <w:rPr>
                <w:rFonts w:cs="Arial" w:ascii="Arial" w:hAnsi="Arial"/>
                <w:sz w:val="20"/>
              </w:rPr>
            </w:r>
          </w:p>
        </w:tc>
        <w:tc>
          <w:tcPr>
            <w:tcW w:w="1620" w:type="dxa"/>
            <w:tcBorders/>
            <w:vAlign w:val="bottom"/>
          </w:tcPr>
          <w:p>
            <w:pPr>
              <w:pStyle w:val="Normal"/>
              <w:snapToGrid w:val="false"/>
              <w:jc w:val="center"/>
              <w:rPr>
                <w:rFonts w:ascii="Arial" w:hAnsi="Arial" w:cs="Arial"/>
              </w:rPr>
            </w:pPr>
            <w:r>
              <w:rPr>
                <w:rFonts w:cs="Arial" w:ascii="Arial" w:hAnsi="Arial"/>
              </w:rPr>
            </w:r>
          </w:p>
        </w:tc>
        <w:tc>
          <w:tcPr>
            <w:tcW w:w="1800" w:type="dxa"/>
            <w:tcBorders/>
            <w:vAlign w:val="bottom"/>
          </w:tcPr>
          <w:p>
            <w:pPr>
              <w:pStyle w:val="Normal"/>
              <w:snapToGrid w:val="false"/>
              <w:jc w:val="center"/>
              <w:rPr>
                <w:rFonts w:ascii="Arial" w:hAnsi="Arial" w:cs="Arial"/>
              </w:rPr>
            </w:pPr>
            <w:r>
              <w:rPr>
                <w:rFonts w:cs="Arial" w:ascii="Arial" w:hAnsi="Arial"/>
              </w:rPr>
            </w:r>
          </w:p>
        </w:tc>
        <w:tc>
          <w:tcPr>
            <w:tcW w:w="2430" w:type="dxa"/>
            <w:tcBorders/>
            <w:vAlign w:val="bottom"/>
          </w:tcPr>
          <w:p>
            <w:pPr>
              <w:pStyle w:val="Normal"/>
              <w:rPr>
                <w:rFonts w:ascii="Arial" w:hAnsi="Arial" w:cs="Arial"/>
              </w:rPr>
            </w:pPr>
            <w:r>
              <w:rPr>
                <w:rFonts w:cs="Arial" w:ascii="Arial" w:hAnsi="Arial"/>
              </w:rPr>
              <w:t>Rate Confirmation</w:t>
            </w:r>
          </w:p>
        </w:tc>
        <w:tc>
          <w:tcPr>
            <w:tcW w:w="2520" w:type="dxa"/>
            <w:tcBorders/>
            <w:vAlign w:val="bottom"/>
          </w:tcPr>
          <w:p>
            <w:pPr>
              <w:pStyle w:val="Normal"/>
              <w:snapToGrid w:val="false"/>
              <w:rPr>
                <w:rFonts w:ascii="Arial" w:hAnsi="Arial" w:cs="Arial"/>
              </w:rPr>
            </w:pPr>
            <w:r>
              <w:rPr>
                <w:rFonts w:cs="Arial" w:ascii="Arial" w:hAnsi="Arial"/>
              </w:rPr>
            </w:r>
          </w:p>
        </w:tc>
      </w:tr>
      <w:tr>
        <w:trPr>
          <w:trHeight w:val="300" w:hRule="atLeast"/>
        </w:trPr>
        <w:tc>
          <w:tcPr>
            <w:tcW w:w="1097" w:type="dxa"/>
            <w:tcBorders/>
            <w:vAlign w:val="bottom"/>
          </w:tcPr>
          <w:p>
            <w:pPr>
              <w:pStyle w:val="Normal"/>
              <w:snapToGrid w:val="false"/>
              <w:rPr>
                <w:rFonts w:ascii="Arial" w:hAnsi="Arial" w:cs="Arial"/>
                <w:sz w:val="20"/>
              </w:rPr>
            </w:pPr>
            <w:r>
              <w:rPr>
                <w:rFonts w:cs="Arial" w:ascii="Arial" w:hAnsi="Arial"/>
                <w:sz w:val="20"/>
              </w:rPr>
            </w:r>
          </w:p>
        </w:tc>
        <w:tc>
          <w:tcPr>
            <w:tcW w:w="1620" w:type="dxa"/>
            <w:tcBorders/>
            <w:vAlign w:val="bottom"/>
          </w:tcPr>
          <w:p>
            <w:pPr>
              <w:pStyle w:val="Normal"/>
              <w:snapToGrid w:val="false"/>
              <w:jc w:val="center"/>
              <w:rPr>
                <w:rFonts w:ascii="Arial" w:hAnsi="Arial" w:cs="Arial"/>
              </w:rPr>
            </w:pPr>
            <w:r>
              <w:rPr>
                <w:rFonts w:cs="Arial" w:ascii="Arial" w:hAnsi="Arial"/>
              </w:rPr>
            </w:r>
          </w:p>
        </w:tc>
        <w:tc>
          <w:tcPr>
            <w:tcW w:w="1800" w:type="dxa"/>
            <w:tcBorders/>
            <w:vAlign w:val="bottom"/>
          </w:tcPr>
          <w:p>
            <w:pPr>
              <w:pStyle w:val="Normal"/>
              <w:snapToGrid w:val="false"/>
              <w:jc w:val="center"/>
              <w:rPr>
                <w:rFonts w:ascii="Arial" w:hAnsi="Arial" w:cs="Arial"/>
              </w:rPr>
            </w:pPr>
            <w:r>
              <w:rPr>
                <w:rFonts w:cs="Arial" w:ascii="Arial" w:hAnsi="Arial"/>
              </w:rPr>
            </w:r>
          </w:p>
        </w:tc>
        <w:tc>
          <w:tcPr>
            <w:tcW w:w="2430" w:type="dxa"/>
            <w:tcBorders/>
            <w:vAlign w:val="bottom"/>
          </w:tcPr>
          <w:p>
            <w:pPr>
              <w:pStyle w:val="Normal"/>
              <w:rPr>
                <w:rFonts w:ascii="Arial" w:hAnsi="Arial" w:cs="Arial"/>
              </w:rPr>
            </w:pPr>
            <w:r>
              <w:rPr>
                <w:rFonts w:cs="Arial" w:ascii="Arial" w:hAnsi="Arial"/>
              </w:rPr>
              <w:t>Invoices</w:t>
            </w:r>
          </w:p>
        </w:tc>
        <w:tc>
          <w:tcPr>
            <w:tcW w:w="2520" w:type="dxa"/>
            <w:tcBorders/>
            <w:vAlign w:val="bottom"/>
          </w:tcPr>
          <w:p>
            <w:pPr>
              <w:pStyle w:val="Normal"/>
              <w:snapToGrid w:val="false"/>
              <w:rPr>
                <w:rFonts w:ascii="Arial" w:hAnsi="Arial" w:cs="Arial"/>
              </w:rPr>
            </w:pPr>
            <w:r>
              <w:rPr>
                <w:rFonts w:cs="Arial" w:ascii="Arial" w:hAnsi="Arial"/>
              </w:rPr>
            </w:r>
          </w:p>
        </w:tc>
      </w:tr>
      <w:tr>
        <w:trPr>
          <w:trHeight w:val="300" w:hRule="atLeast"/>
        </w:trPr>
        <w:tc>
          <w:tcPr>
            <w:tcW w:w="1097" w:type="dxa"/>
            <w:tcBorders/>
            <w:vAlign w:val="bottom"/>
          </w:tcPr>
          <w:p>
            <w:pPr>
              <w:pStyle w:val="Normal"/>
              <w:snapToGrid w:val="false"/>
              <w:rPr>
                <w:rFonts w:ascii="Arial" w:hAnsi="Arial" w:cs="Arial"/>
                <w:sz w:val="20"/>
              </w:rPr>
            </w:pPr>
            <w:r>
              <w:rPr>
                <w:rFonts w:cs="Arial" w:ascii="Arial" w:hAnsi="Arial"/>
                <w:sz w:val="20"/>
              </w:rPr>
            </w:r>
          </w:p>
        </w:tc>
        <w:tc>
          <w:tcPr>
            <w:tcW w:w="1620" w:type="dxa"/>
            <w:tcBorders/>
            <w:vAlign w:val="bottom"/>
          </w:tcPr>
          <w:p>
            <w:pPr>
              <w:pStyle w:val="Normal"/>
              <w:snapToGrid w:val="false"/>
              <w:jc w:val="center"/>
              <w:rPr>
                <w:rFonts w:ascii="Arial" w:hAnsi="Arial" w:cs="Arial"/>
              </w:rPr>
            </w:pPr>
            <w:r>
              <w:rPr>
                <w:rFonts w:cs="Arial" w:ascii="Arial" w:hAnsi="Arial"/>
              </w:rPr>
            </w:r>
          </w:p>
        </w:tc>
        <w:tc>
          <w:tcPr>
            <w:tcW w:w="1800" w:type="dxa"/>
            <w:tcBorders/>
            <w:vAlign w:val="bottom"/>
          </w:tcPr>
          <w:p>
            <w:pPr>
              <w:pStyle w:val="Normal"/>
              <w:snapToGrid w:val="false"/>
              <w:jc w:val="center"/>
              <w:rPr>
                <w:rFonts w:ascii="Arial" w:hAnsi="Arial" w:cs="Arial"/>
              </w:rPr>
            </w:pPr>
            <w:r>
              <w:rPr>
                <w:rFonts w:cs="Arial" w:ascii="Arial" w:hAnsi="Arial"/>
              </w:rPr>
            </w:r>
          </w:p>
        </w:tc>
        <w:tc>
          <w:tcPr>
            <w:tcW w:w="2430" w:type="dxa"/>
            <w:tcBorders/>
            <w:vAlign w:val="bottom"/>
          </w:tcPr>
          <w:p>
            <w:pPr>
              <w:pStyle w:val="Normal"/>
              <w:rPr>
                <w:rFonts w:ascii="Arial" w:hAnsi="Arial" w:cs="Arial"/>
              </w:rPr>
            </w:pPr>
            <w:r>
              <w:rPr>
                <w:rFonts w:cs="Arial" w:ascii="Arial" w:hAnsi="Arial"/>
              </w:rPr>
              <w:t>Billing</w:t>
            </w:r>
          </w:p>
        </w:tc>
        <w:tc>
          <w:tcPr>
            <w:tcW w:w="2520" w:type="dxa"/>
            <w:tcBorders/>
            <w:vAlign w:val="bottom"/>
          </w:tcPr>
          <w:p>
            <w:pPr>
              <w:pStyle w:val="Normal"/>
              <w:snapToGrid w:val="false"/>
              <w:rPr>
                <w:rFonts w:ascii="Arial" w:hAnsi="Arial" w:cs="Arial"/>
              </w:rPr>
            </w:pPr>
            <w:r>
              <w:rPr>
                <w:rFonts w:cs="Arial" w:ascii="Arial" w:hAnsi="Arial"/>
              </w:rPr>
            </w:r>
          </w:p>
        </w:tc>
      </w:tr>
      <w:tr>
        <w:trPr>
          <w:trHeight w:val="300" w:hRule="atLeast"/>
        </w:trPr>
        <w:tc>
          <w:tcPr>
            <w:tcW w:w="1097" w:type="dxa"/>
            <w:tcBorders/>
            <w:vAlign w:val="bottom"/>
          </w:tcPr>
          <w:p>
            <w:pPr>
              <w:pStyle w:val="Normal"/>
              <w:snapToGrid w:val="false"/>
              <w:rPr>
                <w:rFonts w:ascii="Arial" w:hAnsi="Arial" w:cs="Arial"/>
                <w:sz w:val="20"/>
              </w:rPr>
            </w:pPr>
            <w:r>
              <w:rPr>
                <w:rFonts w:cs="Arial" w:ascii="Arial" w:hAnsi="Arial"/>
                <w:sz w:val="20"/>
              </w:rPr>
            </w:r>
          </w:p>
        </w:tc>
        <w:tc>
          <w:tcPr>
            <w:tcW w:w="1620" w:type="dxa"/>
            <w:tcBorders/>
            <w:vAlign w:val="bottom"/>
          </w:tcPr>
          <w:p>
            <w:pPr>
              <w:pStyle w:val="Normal"/>
              <w:snapToGrid w:val="false"/>
              <w:jc w:val="center"/>
              <w:rPr>
                <w:rFonts w:ascii="Arial" w:hAnsi="Arial" w:cs="Arial"/>
              </w:rPr>
            </w:pPr>
            <w:r>
              <w:rPr>
                <w:rFonts w:cs="Arial" w:ascii="Arial" w:hAnsi="Arial"/>
              </w:rPr>
            </w:r>
          </w:p>
        </w:tc>
        <w:tc>
          <w:tcPr>
            <w:tcW w:w="1800" w:type="dxa"/>
            <w:tcBorders/>
            <w:vAlign w:val="bottom"/>
          </w:tcPr>
          <w:p>
            <w:pPr>
              <w:pStyle w:val="Normal"/>
              <w:snapToGrid w:val="false"/>
              <w:jc w:val="center"/>
              <w:rPr>
                <w:rFonts w:ascii="Arial" w:hAnsi="Arial" w:cs="Arial"/>
              </w:rPr>
            </w:pPr>
            <w:r>
              <w:rPr>
                <w:rFonts w:cs="Arial" w:ascii="Arial" w:hAnsi="Arial"/>
              </w:rPr>
            </w:r>
          </w:p>
        </w:tc>
        <w:tc>
          <w:tcPr>
            <w:tcW w:w="2430" w:type="dxa"/>
            <w:tcBorders/>
            <w:vAlign w:val="bottom"/>
          </w:tcPr>
          <w:p>
            <w:pPr>
              <w:pStyle w:val="Normal"/>
              <w:rPr>
                <w:rFonts w:ascii="Arial" w:hAnsi="Arial" w:cs="Arial"/>
              </w:rPr>
            </w:pPr>
            <w:r>
              <w:rPr>
                <w:rFonts w:cs="Arial" w:ascii="Arial" w:hAnsi="Arial"/>
              </w:rPr>
              <w:t>Purchase Order</w:t>
            </w:r>
          </w:p>
        </w:tc>
        <w:tc>
          <w:tcPr>
            <w:tcW w:w="2520" w:type="dxa"/>
            <w:tcBorders/>
            <w:vAlign w:val="bottom"/>
          </w:tcPr>
          <w:p>
            <w:pPr>
              <w:pStyle w:val="Normal"/>
              <w:snapToGrid w:val="false"/>
              <w:rPr>
                <w:rFonts w:ascii="Arial" w:hAnsi="Arial" w:cs="Arial"/>
              </w:rPr>
            </w:pPr>
            <w:r>
              <w:rPr>
                <w:rFonts w:cs="Arial" w:ascii="Arial" w:hAnsi="Arial"/>
              </w:rPr>
            </w:r>
          </w:p>
        </w:tc>
      </w:tr>
      <w:tr>
        <w:trPr>
          <w:trHeight w:val="300" w:hRule="atLeast"/>
        </w:trPr>
        <w:tc>
          <w:tcPr>
            <w:tcW w:w="1097" w:type="dxa"/>
            <w:tcBorders/>
            <w:vAlign w:val="bottom"/>
          </w:tcPr>
          <w:p>
            <w:pPr>
              <w:pStyle w:val="Normal"/>
              <w:snapToGrid w:val="false"/>
              <w:rPr>
                <w:rFonts w:ascii="Arial" w:hAnsi="Arial" w:cs="Arial"/>
                <w:sz w:val="20"/>
              </w:rPr>
            </w:pPr>
            <w:r>
              <w:rPr>
                <w:rFonts w:cs="Arial" w:ascii="Arial" w:hAnsi="Arial"/>
                <w:sz w:val="20"/>
              </w:rPr>
            </w:r>
          </w:p>
        </w:tc>
        <w:tc>
          <w:tcPr>
            <w:tcW w:w="1620" w:type="dxa"/>
            <w:tcBorders/>
            <w:vAlign w:val="bottom"/>
          </w:tcPr>
          <w:p>
            <w:pPr>
              <w:pStyle w:val="Normal"/>
              <w:snapToGrid w:val="false"/>
              <w:jc w:val="center"/>
              <w:rPr>
                <w:rFonts w:ascii="Arial" w:hAnsi="Arial" w:cs="Arial"/>
              </w:rPr>
            </w:pPr>
            <w:r>
              <w:rPr>
                <w:rFonts w:cs="Arial" w:ascii="Arial" w:hAnsi="Arial"/>
              </w:rPr>
            </w:r>
          </w:p>
        </w:tc>
        <w:tc>
          <w:tcPr>
            <w:tcW w:w="1800" w:type="dxa"/>
            <w:tcBorders/>
            <w:vAlign w:val="bottom"/>
          </w:tcPr>
          <w:p>
            <w:pPr>
              <w:pStyle w:val="Normal"/>
              <w:snapToGrid w:val="false"/>
              <w:jc w:val="center"/>
              <w:rPr>
                <w:rFonts w:ascii="Arial" w:hAnsi="Arial" w:cs="Arial"/>
              </w:rPr>
            </w:pPr>
            <w:r>
              <w:rPr>
                <w:rFonts w:cs="Arial" w:ascii="Arial" w:hAnsi="Arial"/>
              </w:rPr>
            </w:r>
          </w:p>
        </w:tc>
        <w:tc>
          <w:tcPr>
            <w:tcW w:w="2430" w:type="dxa"/>
            <w:tcBorders/>
            <w:vAlign w:val="bottom"/>
          </w:tcPr>
          <w:p>
            <w:pPr>
              <w:pStyle w:val="Normal"/>
              <w:snapToGrid w:val="false"/>
              <w:rPr>
                <w:rFonts w:ascii="Arial" w:hAnsi="Arial" w:cs="Arial"/>
              </w:rPr>
            </w:pPr>
            <w:r>
              <w:rPr>
                <w:rFonts w:cs="Arial" w:ascii="Arial" w:hAnsi="Arial"/>
              </w:rPr>
            </w:r>
          </w:p>
        </w:tc>
        <w:tc>
          <w:tcPr>
            <w:tcW w:w="2520" w:type="dxa"/>
            <w:tcBorders/>
            <w:vAlign w:val="bottom"/>
          </w:tcPr>
          <w:p>
            <w:pPr>
              <w:pStyle w:val="Normal"/>
              <w:snapToGrid w:val="false"/>
              <w:rPr>
                <w:rFonts w:ascii="Arial" w:hAnsi="Arial" w:cs="Arial"/>
              </w:rPr>
            </w:pPr>
            <w:r>
              <w:rPr>
                <w:rFonts w:cs="Arial" w:ascii="Arial" w:hAnsi="Arial"/>
              </w:rPr>
            </w:r>
          </w:p>
        </w:tc>
      </w:tr>
      <w:tr>
        <w:trPr>
          <w:trHeight w:val="300" w:hRule="atLeast"/>
        </w:trPr>
        <w:tc>
          <w:tcPr>
            <w:tcW w:w="1097" w:type="dxa"/>
            <w:tcBorders/>
            <w:vAlign w:val="bottom"/>
          </w:tcPr>
          <w:p>
            <w:pPr>
              <w:pStyle w:val="Normal"/>
              <w:rPr>
                <w:rFonts w:ascii="Arial" w:hAnsi="Arial" w:cs="Arial"/>
              </w:rPr>
            </w:pPr>
            <w:r>
              <w:rPr>
                <w:rFonts w:cs="Arial" w:ascii="Arial" w:hAnsi="Arial"/>
              </w:rPr>
              <w:t>Financial</w:t>
            </w:r>
          </w:p>
        </w:tc>
        <w:tc>
          <w:tcPr>
            <w:tcW w:w="1620" w:type="dxa"/>
            <w:tcBorders/>
            <w:vAlign w:val="bottom"/>
          </w:tcPr>
          <w:p>
            <w:pPr>
              <w:pStyle w:val="Normal"/>
              <w:jc w:val="center"/>
              <w:rPr>
                <w:rFonts w:ascii="Arial" w:hAnsi="Arial" w:cs="Arial"/>
              </w:rPr>
            </w:pPr>
            <w:r>
              <w:rPr>
                <w:rFonts w:cs="Arial" w:ascii="Arial" w:hAnsi="Arial"/>
              </w:rPr>
              <w:t>8</w:t>
            </w:r>
          </w:p>
        </w:tc>
        <w:tc>
          <w:tcPr>
            <w:tcW w:w="1800" w:type="dxa"/>
            <w:tcBorders/>
            <w:vAlign w:val="bottom"/>
          </w:tcPr>
          <w:p>
            <w:pPr>
              <w:pStyle w:val="Normal"/>
              <w:jc w:val="center"/>
              <w:rPr>
                <w:rFonts w:ascii="Arial" w:hAnsi="Arial" w:cs="Arial"/>
              </w:rPr>
            </w:pPr>
            <w:r>
              <w:rPr>
                <w:rFonts w:cs="Arial" w:ascii="Arial" w:hAnsi="Arial"/>
              </w:rPr>
              <w:t>20</w:t>
            </w:r>
          </w:p>
        </w:tc>
        <w:tc>
          <w:tcPr>
            <w:tcW w:w="2430" w:type="dxa"/>
            <w:tcBorders/>
            <w:vAlign w:val="bottom"/>
          </w:tcPr>
          <w:p>
            <w:pPr>
              <w:pStyle w:val="Normal"/>
              <w:rPr>
                <w:rFonts w:ascii="Arial" w:hAnsi="Arial" w:cs="Arial"/>
              </w:rPr>
            </w:pPr>
            <w:r>
              <w:rPr>
                <w:rFonts w:cs="Arial" w:ascii="Arial" w:hAnsi="Arial"/>
              </w:rPr>
              <w:t>Checks</w:t>
            </w:r>
          </w:p>
        </w:tc>
        <w:tc>
          <w:tcPr>
            <w:tcW w:w="2520" w:type="dxa"/>
            <w:tcBorders/>
            <w:vAlign w:val="bottom"/>
          </w:tcPr>
          <w:p>
            <w:pPr>
              <w:pStyle w:val="Normal"/>
              <w:rPr>
                <w:rFonts w:ascii="Arial" w:hAnsi="Arial" w:cs="Arial"/>
              </w:rPr>
            </w:pPr>
            <w:r>
              <w:rPr>
                <w:rFonts w:cs="Arial" w:ascii="Arial" w:hAnsi="Arial"/>
              </w:rPr>
              <w:t>Acknowledgements</w:t>
            </w:r>
          </w:p>
        </w:tc>
      </w:tr>
      <w:tr>
        <w:trPr>
          <w:trHeight w:val="300" w:hRule="atLeast"/>
        </w:trPr>
        <w:tc>
          <w:tcPr>
            <w:tcW w:w="1097" w:type="dxa"/>
            <w:tcBorders/>
            <w:vAlign w:val="bottom"/>
          </w:tcPr>
          <w:p>
            <w:pPr>
              <w:pStyle w:val="Normal"/>
              <w:snapToGrid w:val="false"/>
              <w:rPr>
                <w:rFonts w:ascii="Arial" w:hAnsi="Arial" w:cs="Arial"/>
                <w:sz w:val="20"/>
              </w:rPr>
            </w:pPr>
            <w:r>
              <w:rPr>
                <w:rFonts w:cs="Arial" w:ascii="Arial" w:hAnsi="Arial"/>
                <w:sz w:val="20"/>
              </w:rPr>
            </w:r>
          </w:p>
        </w:tc>
        <w:tc>
          <w:tcPr>
            <w:tcW w:w="1620" w:type="dxa"/>
            <w:tcBorders/>
            <w:vAlign w:val="bottom"/>
          </w:tcPr>
          <w:p>
            <w:pPr>
              <w:pStyle w:val="Normal"/>
              <w:snapToGrid w:val="false"/>
              <w:rPr>
                <w:rFonts w:ascii="Arial" w:hAnsi="Arial" w:cs="Arial"/>
              </w:rPr>
            </w:pPr>
            <w:r>
              <w:rPr>
                <w:rFonts w:cs="Arial" w:ascii="Arial" w:hAnsi="Arial"/>
              </w:rPr>
            </w:r>
          </w:p>
        </w:tc>
        <w:tc>
          <w:tcPr>
            <w:tcW w:w="1800" w:type="dxa"/>
            <w:tcBorders/>
            <w:vAlign w:val="bottom"/>
          </w:tcPr>
          <w:p>
            <w:pPr>
              <w:pStyle w:val="Normal"/>
              <w:snapToGrid w:val="false"/>
              <w:rPr>
                <w:rFonts w:ascii="Arial" w:hAnsi="Arial" w:cs="Arial"/>
              </w:rPr>
            </w:pPr>
            <w:r>
              <w:rPr>
                <w:rFonts w:cs="Arial" w:ascii="Arial" w:hAnsi="Arial"/>
              </w:rPr>
            </w:r>
          </w:p>
        </w:tc>
        <w:tc>
          <w:tcPr>
            <w:tcW w:w="2430" w:type="dxa"/>
            <w:tcBorders/>
            <w:vAlign w:val="bottom"/>
          </w:tcPr>
          <w:p>
            <w:pPr>
              <w:pStyle w:val="Normal"/>
              <w:rPr>
                <w:rFonts w:ascii="Arial" w:hAnsi="Arial" w:cs="Arial"/>
              </w:rPr>
            </w:pPr>
            <w:r>
              <w:rPr>
                <w:rFonts w:cs="Arial" w:ascii="Arial" w:hAnsi="Arial"/>
              </w:rPr>
              <w:t>Direct Deposits</w:t>
            </w:r>
          </w:p>
        </w:tc>
        <w:tc>
          <w:tcPr>
            <w:tcW w:w="2520" w:type="dxa"/>
            <w:tcBorders/>
            <w:vAlign w:val="bottom"/>
          </w:tcPr>
          <w:p>
            <w:pPr>
              <w:pStyle w:val="Normal"/>
              <w:rPr>
                <w:rFonts w:ascii="Arial" w:hAnsi="Arial" w:cs="Arial"/>
              </w:rPr>
            </w:pPr>
            <w:r>
              <w:rPr>
                <w:rFonts w:cs="Arial" w:ascii="Arial" w:hAnsi="Arial"/>
              </w:rPr>
              <w:t>Utility Invoices</w:t>
            </w:r>
          </w:p>
        </w:tc>
      </w:tr>
      <w:tr>
        <w:trPr>
          <w:trHeight w:val="300" w:hRule="atLeast"/>
        </w:trPr>
        <w:tc>
          <w:tcPr>
            <w:tcW w:w="1097" w:type="dxa"/>
            <w:tcBorders/>
            <w:vAlign w:val="bottom"/>
          </w:tcPr>
          <w:p>
            <w:pPr>
              <w:pStyle w:val="Normal"/>
              <w:snapToGrid w:val="false"/>
              <w:rPr>
                <w:rFonts w:ascii="Arial" w:hAnsi="Arial" w:cs="Arial"/>
                <w:sz w:val="20"/>
              </w:rPr>
            </w:pPr>
            <w:r>
              <w:rPr>
                <w:rFonts w:cs="Arial" w:ascii="Arial" w:hAnsi="Arial"/>
                <w:sz w:val="20"/>
              </w:rPr>
            </w:r>
          </w:p>
        </w:tc>
        <w:tc>
          <w:tcPr>
            <w:tcW w:w="1620" w:type="dxa"/>
            <w:tcBorders/>
            <w:vAlign w:val="bottom"/>
          </w:tcPr>
          <w:p>
            <w:pPr>
              <w:pStyle w:val="Normal"/>
              <w:snapToGrid w:val="false"/>
              <w:rPr>
                <w:rFonts w:ascii="Arial" w:hAnsi="Arial" w:cs="Arial"/>
              </w:rPr>
            </w:pPr>
            <w:r>
              <w:rPr>
                <w:rFonts w:cs="Arial" w:ascii="Arial" w:hAnsi="Arial"/>
              </w:rPr>
            </w:r>
          </w:p>
        </w:tc>
        <w:tc>
          <w:tcPr>
            <w:tcW w:w="1800" w:type="dxa"/>
            <w:tcBorders/>
            <w:vAlign w:val="bottom"/>
          </w:tcPr>
          <w:p>
            <w:pPr>
              <w:pStyle w:val="Normal"/>
              <w:snapToGrid w:val="false"/>
              <w:rPr>
                <w:rFonts w:ascii="Arial" w:hAnsi="Arial" w:cs="Arial"/>
              </w:rPr>
            </w:pPr>
            <w:r>
              <w:rPr>
                <w:rFonts w:cs="Arial" w:ascii="Arial" w:hAnsi="Arial"/>
              </w:rPr>
            </w:r>
          </w:p>
        </w:tc>
        <w:tc>
          <w:tcPr>
            <w:tcW w:w="2430" w:type="dxa"/>
            <w:tcBorders/>
            <w:vAlign w:val="bottom"/>
          </w:tcPr>
          <w:p>
            <w:pPr>
              <w:pStyle w:val="Normal"/>
              <w:rPr>
                <w:rFonts w:ascii="Arial" w:hAnsi="Arial" w:cs="Arial"/>
              </w:rPr>
            </w:pPr>
            <w:r>
              <w:rPr>
                <w:rFonts w:cs="Arial" w:ascii="Arial" w:hAnsi="Arial"/>
              </w:rPr>
              <w:t>Advices</w:t>
            </w:r>
          </w:p>
        </w:tc>
        <w:tc>
          <w:tcPr>
            <w:tcW w:w="2520" w:type="dxa"/>
            <w:tcBorders/>
            <w:vAlign w:val="bottom"/>
          </w:tcPr>
          <w:p>
            <w:pPr>
              <w:pStyle w:val="Normal"/>
              <w:rPr>
                <w:rFonts w:ascii="Arial" w:hAnsi="Arial" w:cs="Arial"/>
              </w:rPr>
            </w:pPr>
            <w:r>
              <w:rPr>
                <w:rFonts w:cs="Arial" w:ascii="Arial" w:hAnsi="Arial"/>
              </w:rPr>
              <w:t>Consolidated Billing</w:t>
            </w:r>
          </w:p>
        </w:tc>
      </w:tr>
      <w:tr>
        <w:trPr>
          <w:trHeight w:val="300" w:hRule="atLeast"/>
        </w:trPr>
        <w:tc>
          <w:tcPr>
            <w:tcW w:w="1097" w:type="dxa"/>
            <w:tcBorders/>
            <w:vAlign w:val="bottom"/>
          </w:tcPr>
          <w:p>
            <w:pPr>
              <w:pStyle w:val="Normal"/>
              <w:snapToGrid w:val="false"/>
              <w:rPr>
                <w:rFonts w:ascii="Arial" w:hAnsi="Arial" w:cs="Arial"/>
                <w:sz w:val="20"/>
              </w:rPr>
            </w:pPr>
            <w:r>
              <w:rPr>
                <w:rFonts w:cs="Arial" w:ascii="Arial" w:hAnsi="Arial"/>
                <w:sz w:val="20"/>
              </w:rPr>
            </w:r>
          </w:p>
        </w:tc>
        <w:tc>
          <w:tcPr>
            <w:tcW w:w="1620" w:type="dxa"/>
            <w:tcBorders/>
            <w:vAlign w:val="bottom"/>
          </w:tcPr>
          <w:p>
            <w:pPr>
              <w:pStyle w:val="Normal"/>
              <w:snapToGrid w:val="false"/>
              <w:rPr>
                <w:rFonts w:ascii="Arial" w:hAnsi="Arial" w:cs="Arial"/>
              </w:rPr>
            </w:pPr>
            <w:r>
              <w:rPr>
                <w:rFonts w:cs="Arial" w:ascii="Arial" w:hAnsi="Arial"/>
              </w:rPr>
            </w:r>
          </w:p>
        </w:tc>
        <w:tc>
          <w:tcPr>
            <w:tcW w:w="1800" w:type="dxa"/>
            <w:tcBorders/>
            <w:vAlign w:val="bottom"/>
          </w:tcPr>
          <w:p>
            <w:pPr>
              <w:pStyle w:val="Normal"/>
              <w:snapToGrid w:val="false"/>
              <w:rPr>
                <w:rFonts w:ascii="Arial" w:hAnsi="Arial" w:cs="Arial"/>
              </w:rPr>
            </w:pPr>
            <w:r>
              <w:rPr>
                <w:rFonts w:cs="Arial" w:ascii="Arial" w:hAnsi="Arial"/>
              </w:rPr>
            </w:r>
          </w:p>
        </w:tc>
        <w:tc>
          <w:tcPr>
            <w:tcW w:w="2430" w:type="dxa"/>
            <w:tcBorders/>
            <w:vAlign w:val="bottom"/>
          </w:tcPr>
          <w:p>
            <w:pPr>
              <w:pStyle w:val="Normal"/>
              <w:rPr>
                <w:rFonts w:ascii="Arial" w:hAnsi="Arial" w:cs="Arial"/>
              </w:rPr>
            </w:pPr>
            <w:r>
              <w:rPr>
                <w:rFonts w:cs="Arial" w:ascii="Arial" w:hAnsi="Arial"/>
              </w:rPr>
              <w:t>Issuances</w:t>
            </w:r>
          </w:p>
        </w:tc>
        <w:tc>
          <w:tcPr>
            <w:tcW w:w="2520" w:type="dxa"/>
            <w:tcBorders/>
            <w:vAlign w:val="bottom"/>
          </w:tcPr>
          <w:p>
            <w:pPr>
              <w:pStyle w:val="Normal"/>
              <w:snapToGrid w:val="false"/>
              <w:rPr>
                <w:rFonts w:ascii="Arial" w:hAnsi="Arial" w:cs="Arial"/>
              </w:rPr>
            </w:pPr>
            <w:r>
              <w:rPr>
                <w:rFonts w:cs="Arial" w:ascii="Arial" w:hAnsi="Arial"/>
              </w:rPr>
            </w:r>
          </w:p>
        </w:tc>
      </w:tr>
      <w:tr>
        <w:trPr>
          <w:trHeight w:val="300" w:hRule="atLeast"/>
        </w:trPr>
        <w:tc>
          <w:tcPr>
            <w:tcW w:w="1097" w:type="dxa"/>
            <w:tcBorders/>
            <w:vAlign w:val="bottom"/>
          </w:tcPr>
          <w:p>
            <w:pPr>
              <w:pStyle w:val="Normal"/>
              <w:snapToGrid w:val="false"/>
              <w:rPr>
                <w:rFonts w:ascii="Arial" w:hAnsi="Arial" w:cs="Arial"/>
                <w:sz w:val="20"/>
              </w:rPr>
            </w:pPr>
            <w:r>
              <w:rPr>
                <w:rFonts w:cs="Arial" w:ascii="Arial" w:hAnsi="Arial"/>
                <w:sz w:val="20"/>
              </w:rPr>
            </w:r>
          </w:p>
        </w:tc>
        <w:tc>
          <w:tcPr>
            <w:tcW w:w="1620" w:type="dxa"/>
            <w:tcBorders/>
            <w:vAlign w:val="bottom"/>
          </w:tcPr>
          <w:p>
            <w:pPr>
              <w:pStyle w:val="Normal"/>
              <w:snapToGrid w:val="false"/>
              <w:rPr>
                <w:rFonts w:ascii="Arial" w:hAnsi="Arial" w:cs="Arial"/>
              </w:rPr>
            </w:pPr>
            <w:r>
              <w:rPr>
                <w:rFonts w:cs="Arial" w:ascii="Arial" w:hAnsi="Arial"/>
              </w:rPr>
            </w:r>
          </w:p>
        </w:tc>
        <w:tc>
          <w:tcPr>
            <w:tcW w:w="1800" w:type="dxa"/>
            <w:tcBorders/>
            <w:vAlign w:val="bottom"/>
          </w:tcPr>
          <w:p>
            <w:pPr>
              <w:pStyle w:val="Normal"/>
              <w:snapToGrid w:val="false"/>
              <w:rPr>
                <w:rFonts w:ascii="Arial" w:hAnsi="Arial" w:cs="Arial"/>
              </w:rPr>
            </w:pPr>
            <w:r>
              <w:rPr>
                <w:rFonts w:cs="Arial" w:ascii="Arial" w:hAnsi="Arial"/>
              </w:rPr>
            </w:r>
          </w:p>
        </w:tc>
        <w:tc>
          <w:tcPr>
            <w:tcW w:w="2430" w:type="dxa"/>
            <w:tcBorders/>
            <w:vAlign w:val="bottom"/>
          </w:tcPr>
          <w:p>
            <w:pPr>
              <w:pStyle w:val="Normal"/>
              <w:rPr>
                <w:rFonts w:ascii="Arial" w:hAnsi="Arial" w:cs="Arial"/>
              </w:rPr>
            </w:pPr>
            <w:r>
              <w:rPr>
                <w:rFonts w:cs="Arial" w:ascii="Arial" w:hAnsi="Arial"/>
              </w:rPr>
              <w:t>Financial Report</w:t>
            </w:r>
          </w:p>
        </w:tc>
        <w:tc>
          <w:tcPr>
            <w:tcW w:w="2520" w:type="dxa"/>
            <w:tcBorders/>
            <w:vAlign w:val="bottom"/>
          </w:tcPr>
          <w:p>
            <w:pPr>
              <w:pStyle w:val="Normal"/>
              <w:snapToGrid w:val="false"/>
              <w:rPr>
                <w:rFonts w:ascii="Arial" w:hAnsi="Arial" w:cs="Arial"/>
              </w:rPr>
            </w:pPr>
            <w:r>
              <w:rPr>
                <w:rFonts w:cs="Arial" w:ascii="Arial" w:hAnsi="Arial"/>
              </w:rPr>
            </w:r>
          </w:p>
        </w:tc>
      </w:tr>
      <w:tr>
        <w:trPr>
          <w:trHeight w:val="300" w:hRule="atLeast"/>
        </w:trPr>
        <w:tc>
          <w:tcPr>
            <w:tcW w:w="1097" w:type="dxa"/>
            <w:tcBorders/>
            <w:vAlign w:val="bottom"/>
          </w:tcPr>
          <w:p>
            <w:pPr>
              <w:pStyle w:val="Normal"/>
              <w:snapToGrid w:val="false"/>
              <w:rPr>
                <w:rFonts w:ascii="Arial" w:hAnsi="Arial" w:cs="Arial"/>
                <w:sz w:val="20"/>
              </w:rPr>
            </w:pPr>
            <w:r>
              <w:rPr>
                <w:rFonts w:cs="Arial" w:ascii="Arial" w:hAnsi="Arial"/>
                <w:sz w:val="20"/>
              </w:rPr>
            </w:r>
          </w:p>
        </w:tc>
        <w:tc>
          <w:tcPr>
            <w:tcW w:w="1620" w:type="dxa"/>
            <w:tcBorders/>
            <w:vAlign w:val="bottom"/>
          </w:tcPr>
          <w:p>
            <w:pPr>
              <w:pStyle w:val="Normal"/>
              <w:snapToGrid w:val="false"/>
              <w:rPr>
                <w:rFonts w:ascii="Arial" w:hAnsi="Arial" w:cs="Arial"/>
              </w:rPr>
            </w:pPr>
            <w:r>
              <w:rPr>
                <w:rFonts w:cs="Arial" w:ascii="Arial" w:hAnsi="Arial"/>
              </w:rPr>
            </w:r>
          </w:p>
        </w:tc>
        <w:tc>
          <w:tcPr>
            <w:tcW w:w="1800" w:type="dxa"/>
            <w:tcBorders/>
            <w:vAlign w:val="bottom"/>
          </w:tcPr>
          <w:p>
            <w:pPr>
              <w:pStyle w:val="Normal"/>
              <w:snapToGrid w:val="false"/>
              <w:rPr>
                <w:rFonts w:ascii="Arial" w:hAnsi="Arial" w:cs="Arial"/>
              </w:rPr>
            </w:pPr>
            <w:r>
              <w:rPr>
                <w:rFonts w:cs="Arial" w:ascii="Arial" w:hAnsi="Arial"/>
              </w:rPr>
            </w:r>
          </w:p>
        </w:tc>
        <w:tc>
          <w:tcPr>
            <w:tcW w:w="2430" w:type="dxa"/>
            <w:tcBorders/>
            <w:vAlign w:val="bottom"/>
          </w:tcPr>
          <w:p>
            <w:pPr>
              <w:pStyle w:val="Normal"/>
              <w:rPr>
                <w:rFonts w:ascii="Arial" w:hAnsi="Arial" w:cs="Arial"/>
              </w:rPr>
            </w:pPr>
            <w:r>
              <w:rPr>
                <w:rFonts w:cs="Arial" w:ascii="Arial" w:hAnsi="Arial"/>
              </w:rPr>
              <w:t>Wire Transfers</w:t>
            </w:r>
          </w:p>
        </w:tc>
        <w:tc>
          <w:tcPr>
            <w:tcW w:w="2520" w:type="dxa"/>
            <w:tcBorders/>
            <w:vAlign w:val="bottom"/>
          </w:tcPr>
          <w:p>
            <w:pPr>
              <w:pStyle w:val="Normal"/>
              <w:snapToGrid w:val="false"/>
              <w:rPr>
                <w:rFonts w:ascii="Arial" w:hAnsi="Arial" w:cs="Arial"/>
              </w:rPr>
            </w:pPr>
            <w:r>
              <w:rPr>
                <w:rFonts w:cs="Arial" w:ascii="Arial" w:hAnsi="Arial"/>
              </w:rPr>
            </w:r>
          </w:p>
        </w:tc>
      </w:tr>
      <w:tr>
        <w:trPr>
          <w:trHeight w:val="300" w:hRule="atLeast"/>
        </w:trPr>
        <w:tc>
          <w:tcPr>
            <w:tcW w:w="1097" w:type="dxa"/>
            <w:tcBorders/>
            <w:vAlign w:val="bottom"/>
          </w:tcPr>
          <w:p>
            <w:pPr>
              <w:pStyle w:val="Normal"/>
              <w:snapToGrid w:val="false"/>
              <w:rPr>
                <w:rFonts w:ascii="Arial" w:hAnsi="Arial" w:cs="Arial"/>
                <w:sz w:val="20"/>
              </w:rPr>
            </w:pPr>
            <w:r>
              <w:rPr>
                <w:rFonts w:cs="Arial" w:ascii="Arial" w:hAnsi="Arial"/>
                <w:sz w:val="20"/>
              </w:rPr>
            </w:r>
          </w:p>
        </w:tc>
        <w:tc>
          <w:tcPr>
            <w:tcW w:w="1620" w:type="dxa"/>
            <w:tcBorders/>
            <w:vAlign w:val="bottom"/>
          </w:tcPr>
          <w:p>
            <w:pPr>
              <w:pStyle w:val="Normal"/>
              <w:snapToGrid w:val="false"/>
              <w:rPr>
                <w:rFonts w:ascii="Arial" w:hAnsi="Arial" w:cs="Arial"/>
              </w:rPr>
            </w:pPr>
            <w:r>
              <w:rPr>
                <w:rFonts w:cs="Arial" w:ascii="Arial" w:hAnsi="Arial"/>
              </w:rPr>
            </w:r>
          </w:p>
        </w:tc>
        <w:tc>
          <w:tcPr>
            <w:tcW w:w="1800" w:type="dxa"/>
            <w:tcBorders/>
            <w:vAlign w:val="bottom"/>
          </w:tcPr>
          <w:p>
            <w:pPr>
              <w:pStyle w:val="Normal"/>
              <w:snapToGrid w:val="false"/>
              <w:rPr>
                <w:rFonts w:ascii="Arial" w:hAnsi="Arial" w:cs="Arial"/>
              </w:rPr>
            </w:pPr>
            <w:r>
              <w:rPr>
                <w:rFonts w:cs="Arial" w:ascii="Arial" w:hAnsi="Arial"/>
              </w:rPr>
            </w:r>
          </w:p>
        </w:tc>
        <w:tc>
          <w:tcPr>
            <w:tcW w:w="2430" w:type="dxa"/>
            <w:tcBorders/>
            <w:vAlign w:val="bottom"/>
          </w:tcPr>
          <w:p>
            <w:pPr>
              <w:pStyle w:val="Normal"/>
              <w:snapToGrid w:val="false"/>
              <w:rPr>
                <w:rFonts w:ascii="MS Sans Serif" w:hAnsi="MS Sans Serif" w:cs="MS Sans Serif"/>
                <w:sz w:val="20"/>
              </w:rPr>
            </w:pPr>
            <w:r>
              <w:rPr>
                <w:rFonts w:cs="MS Sans Serif" w:ascii="MS Sans Serif" w:hAnsi="MS Sans Serif"/>
                <w:sz w:val="20"/>
              </w:rPr>
            </w:r>
          </w:p>
        </w:tc>
        <w:tc>
          <w:tcPr>
            <w:tcW w:w="2520" w:type="dxa"/>
            <w:tcBorders/>
            <w:vAlign w:val="bottom"/>
          </w:tcPr>
          <w:p>
            <w:pPr>
              <w:pStyle w:val="Normal"/>
              <w:snapToGrid w:val="false"/>
              <w:rPr>
                <w:rFonts w:ascii="Arial" w:hAnsi="Arial" w:cs="Arial"/>
                <w:sz w:val="20"/>
              </w:rPr>
            </w:pPr>
            <w:r>
              <w:rPr>
                <w:rFonts w:cs="Arial" w:ascii="Arial" w:hAnsi="Arial"/>
                <w:sz w:val="20"/>
              </w:rPr>
            </w:r>
          </w:p>
        </w:tc>
      </w:tr>
    </w:tbl>
    <w:p>
      <w:pPr>
        <w:pStyle w:val="Normal"/>
        <w:rPr/>
      </w:pPr>
      <w:r>
        <w:rPr/>
      </w:r>
    </w:p>
    <w:p>
      <w:pPr>
        <w:pStyle w:val="Normal"/>
        <w:rPr/>
      </w:pPr>
      <w:r>
        <w:rPr/>
      </w:r>
    </w:p>
    <w:p>
      <w:pPr>
        <w:pStyle w:val="BodyText2"/>
        <w:rPr/>
      </w:pPr>
      <w:r>
        <w:rPr/>
        <w:t>More specifically, the following indicates type of transactions processed, name of trading partner and partner.</w:t>
      </w:r>
    </w:p>
    <w:tbl>
      <w:tblPr>
        <w:tblW w:w="9020" w:type="dxa"/>
        <w:jc w:val="start"/>
        <w:tblInd w:w="-17" w:type="dxa"/>
        <w:tblLayout w:type="fixed"/>
        <w:tblCellMar>
          <w:top w:w="0" w:type="dxa"/>
          <w:start w:w="0" w:type="dxa"/>
          <w:bottom w:w="0" w:type="dxa"/>
          <w:end w:w="0" w:type="dxa"/>
        </w:tblCellMar>
      </w:tblPr>
      <w:tblGrid>
        <w:gridCol w:w="1260"/>
        <w:gridCol w:w="3920"/>
        <w:gridCol w:w="960"/>
        <w:gridCol w:w="960"/>
        <w:gridCol w:w="960"/>
        <w:gridCol w:w="960"/>
      </w:tblGrid>
      <w:tr>
        <w:trPr>
          <w:trHeight w:val="255" w:hRule="atLeast"/>
        </w:trPr>
        <w:tc>
          <w:tcPr>
            <w:tcW w:w="1260" w:type="dxa"/>
            <w:tcBorders/>
            <w:vAlign w:val="bottom"/>
          </w:tcPr>
          <w:p>
            <w:pPr>
              <w:pStyle w:val="Normal"/>
              <w:rPr>
                <w:rFonts w:ascii="Arial" w:hAnsi="Arial" w:cs="Arial"/>
                <w:b/>
                <w:sz w:val="20"/>
              </w:rPr>
            </w:pPr>
            <w:r>
              <w:rPr>
                <w:rFonts w:cs="Arial" w:ascii="Arial" w:hAnsi="Arial"/>
                <w:b/>
                <w:sz w:val="20"/>
              </w:rPr>
              <w:t>Type</w:t>
            </w:r>
          </w:p>
        </w:tc>
        <w:tc>
          <w:tcPr>
            <w:tcW w:w="3920" w:type="dxa"/>
            <w:tcBorders/>
            <w:vAlign w:val="bottom"/>
          </w:tcPr>
          <w:p>
            <w:pPr>
              <w:pStyle w:val="Normal"/>
              <w:rPr>
                <w:rFonts w:ascii="Arial" w:hAnsi="Arial" w:cs="Arial"/>
                <w:b/>
                <w:sz w:val="20"/>
              </w:rPr>
            </w:pPr>
            <w:r>
              <w:rPr>
                <w:rFonts w:cs="Arial" w:ascii="Arial" w:hAnsi="Arial"/>
                <w:b/>
                <w:sz w:val="20"/>
              </w:rPr>
              <w:t>Name</w:t>
            </w:r>
          </w:p>
        </w:tc>
        <w:tc>
          <w:tcPr>
            <w:tcW w:w="960" w:type="dxa"/>
            <w:tcBorders/>
            <w:vAlign w:val="bottom"/>
          </w:tcPr>
          <w:p>
            <w:pPr>
              <w:pStyle w:val="Normal"/>
              <w:snapToGrid w:val="false"/>
              <w:rPr>
                <w:rFonts w:ascii="Arial" w:hAnsi="Arial" w:cs="Arial"/>
                <w:b/>
                <w:sz w:val="20"/>
              </w:rPr>
            </w:pPr>
            <w:r>
              <w:rPr>
                <w:rFonts w:cs="Arial" w:ascii="Arial" w:hAnsi="Arial"/>
                <w:b/>
                <w:sz w:val="20"/>
              </w:rPr>
            </w:r>
          </w:p>
        </w:tc>
        <w:tc>
          <w:tcPr>
            <w:tcW w:w="960" w:type="dxa"/>
            <w:tcBorders/>
            <w:vAlign w:val="bottom"/>
          </w:tcPr>
          <w:p>
            <w:pPr>
              <w:pStyle w:val="Normal"/>
              <w:rPr>
                <w:rFonts w:ascii="Arial" w:hAnsi="Arial" w:cs="Arial"/>
                <w:b/>
                <w:sz w:val="20"/>
              </w:rPr>
            </w:pPr>
            <w:r>
              <w:rPr>
                <w:rFonts w:cs="Arial" w:ascii="Arial" w:hAnsi="Arial"/>
                <w:b/>
                <w:sz w:val="20"/>
              </w:rPr>
              <w:t>Partner</w:t>
            </w:r>
          </w:p>
        </w:tc>
        <w:tc>
          <w:tcPr>
            <w:tcW w:w="960" w:type="dxa"/>
            <w:tcBorders/>
            <w:vAlign w:val="bottom"/>
          </w:tcPr>
          <w:p>
            <w:pPr>
              <w:pStyle w:val="Normal"/>
              <w:snapToGrid w:val="false"/>
              <w:rPr>
                <w:rFonts w:ascii="Arial" w:hAnsi="Arial" w:cs="Arial"/>
                <w:b/>
                <w:sz w:val="20"/>
              </w:rPr>
            </w:pPr>
            <w:r>
              <w:rPr>
                <w:rFonts w:cs="Arial" w:ascii="Arial" w:hAnsi="Arial"/>
                <w:b/>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Electric</w:t>
            </w:r>
          </w:p>
        </w:tc>
        <w:tc>
          <w:tcPr>
            <w:tcW w:w="3920" w:type="dxa"/>
            <w:tcBorders/>
            <w:vAlign w:val="bottom"/>
          </w:tcPr>
          <w:p>
            <w:pPr>
              <w:pStyle w:val="Normal"/>
              <w:rPr>
                <w:rFonts w:ascii="Arial" w:hAnsi="Arial" w:cs="Arial"/>
                <w:sz w:val="20"/>
              </w:rPr>
            </w:pPr>
            <w:r>
              <w:rPr>
                <w:rFonts w:cs="Arial" w:ascii="Arial" w:hAnsi="Arial"/>
                <w:sz w:val="20"/>
              </w:rPr>
              <w:t>Pacific Gas &amp; Electric</w:t>
            </w:r>
          </w:p>
        </w:tc>
        <w:tc>
          <w:tcPr>
            <w:tcW w:w="960" w:type="dxa"/>
            <w:tcBorders/>
            <w:vAlign w:val="bottom"/>
          </w:tcPr>
          <w:p>
            <w:pPr>
              <w:pStyle w:val="Normal"/>
              <w:rPr>
                <w:rFonts w:ascii="Arial" w:hAnsi="Arial" w:cs="Arial"/>
                <w:sz w:val="20"/>
              </w:rPr>
            </w:pPr>
            <w:r>
              <w:rPr>
                <w:rFonts w:cs="Arial" w:ascii="Arial" w:hAnsi="Arial"/>
                <w:sz w:val="20"/>
              </w:rPr>
              <w:t>CSC</w:t>
            </w:r>
          </w:p>
        </w:tc>
        <w:tc>
          <w:tcPr>
            <w:tcW w:w="960" w:type="dxa"/>
            <w:tcBorders/>
            <w:vAlign w:val="bottom"/>
          </w:tcPr>
          <w:p>
            <w:pPr>
              <w:pStyle w:val="Normal"/>
              <w:rPr>
                <w:rFonts w:ascii="Arial" w:hAnsi="Arial" w:cs="Arial"/>
                <w:sz w:val="20"/>
              </w:rPr>
            </w:pPr>
            <w:r>
              <w:rPr>
                <w:rFonts w:cs="Arial" w:ascii="Arial" w:hAnsi="Arial"/>
                <w:sz w:val="20"/>
              </w:rPr>
              <w:t>EES</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Electric</w:t>
            </w:r>
          </w:p>
        </w:tc>
        <w:tc>
          <w:tcPr>
            <w:tcW w:w="3920" w:type="dxa"/>
            <w:tcBorders/>
            <w:vAlign w:val="bottom"/>
          </w:tcPr>
          <w:p>
            <w:pPr>
              <w:pStyle w:val="Normal"/>
              <w:rPr>
                <w:rFonts w:ascii="Arial" w:hAnsi="Arial" w:cs="Arial"/>
                <w:sz w:val="20"/>
              </w:rPr>
            </w:pPr>
            <w:r>
              <w:rPr>
                <w:rFonts w:cs="Arial" w:ascii="Arial" w:hAnsi="Arial"/>
                <w:sz w:val="20"/>
              </w:rPr>
              <w:t>Peco</w:t>
            </w:r>
          </w:p>
        </w:tc>
        <w:tc>
          <w:tcPr>
            <w:tcW w:w="960" w:type="dxa"/>
            <w:tcBorders/>
            <w:vAlign w:val="bottom"/>
          </w:tcPr>
          <w:p>
            <w:pPr>
              <w:pStyle w:val="Normal"/>
              <w:rPr>
                <w:rFonts w:ascii="Arial" w:hAnsi="Arial" w:cs="Arial"/>
                <w:sz w:val="20"/>
              </w:rPr>
            </w:pPr>
            <w:r>
              <w:rPr>
                <w:rFonts w:cs="Arial" w:ascii="Arial" w:hAnsi="Arial"/>
                <w:sz w:val="20"/>
              </w:rPr>
              <w:t>CSC</w:t>
            </w:r>
          </w:p>
        </w:tc>
        <w:tc>
          <w:tcPr>
            <w:tcW w:w="960" w:type="dxa"/>
            <w:tcBorders/>
            <w:vAlign w:val="bottom"/>
          </w:tcPr>
          <w:p>
            <w:pPr>
              <w:pStyle w:val="Normal"/>
              <w:rPr>
                <w:rFonts w:ascii="Arial" w:hAnsi="Arial" w:cs="Arial"/>
                <w:sz w:val="20"/>
              </w:rPr>
            </w:pPr>
            <w:r>
              <w:rPr>
                <w:rFonts w:cs="Arial" w:ascii="Arial" w:hAnsi="Arial"/>
                <w:sz w:val="20"/>
              </w:rPr>
              <w:t>EES</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Electric</w:t>
            </w:r>
          </w:p>
        </w:tc>
        <w:tc>
          <w:tcPr>
            <w:tcW w:w="3920" w:type="dxa"/>
            <w:tcBorders/>
            <w:vAlign w:val="bottom"/>
          </w:tcPr>
          <w:p>
            <w:pPr>
              <w:pStyle w:val="Normal"/>
              <w:rPr>
                <w:rFonts w:ascii="Arial" w:hAnsi="Arial" w:cs="Arial"/>
                <w:sz w:val="20"/>
              </w:rPr>
            </w:pPr>
            <w:r>
              <w:rPr>
                <w:rFonts w:cs="Arial" w:ascii="Arial" w:hAnsi="Arial"/>
                <w:sz w:val="20"/>
              </w:rPr>
              <w:t>San Diego Electric</w:t>
            </w:r>
          </w:p>
        </w:tc>
        <w:tc>
          <w:tcPr>
            <w:tcW w:w="960" w:type="dxa"/>
            <w:tcBorders/>
            <w:vAlign w:val="bottom"/>
          </w:tcPr>
          <w:p>
            <w:pPr>
              <w:pStyle w:val="Normal"/>
              <w:rPr>
                <w:rFonts w:ascii="Arial" w:hAnsi="Arial" w:cs="Arial"/>
                <w:sz w:val="20"/>
              </w:rPr>
            </w:pPr>
            <w:r>
              <w:rPr>
                <w:rFonts w:cs="Arial" w:ascii="Arial" w:hAnsi="Arial"/>
                <w:sz w:val="20"/>
              </w:rPr>
              <w:t>CSC</w:t>
            </w:r>
          </w:p>
        </w:tc>
        <w:tc>
          <w:tcPr>
            <w:tcW w:w="960" w:type="dxa"/>
            <w:tcBorders/>
            <w:vAlign w:val="bottom"/>
          </w:tcPr>
          <w:p>
            <w:pPr>
              <w:pStyle w:val="Normal"/>
              <w:rPr>
                <w:rFonts w:ascii="Arial" w:hAnsi="Arial" w:cs="Arial"/>
                <w:sz w:val="20"/>
              </w:rPr>
            </w:pPr>
            <w:r>
              <w:rPr>
                <w:rFonts w:cs="Arial" w:ascii="Arial" w:hAnsi="Arial"/>
                <w:sz w:val="20"/>
              </w:rPr>
              <w:t>EES</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Electric</w:t>
            </w:r>
          </w:p>
        </w:tc>
        <w:tc>
          <w:tcPr>
            <w:tcW w:w="3920" w:type="dxa"/>
            <w:tcBorders/>
            <w:vAlign w:val="bottom"/>
          </w:tcPr>
          <w:p>
            <w:pPr>
              <w:pStyle w:val="Normal"/>
              <w:rPr>
                <w:rFonts w:ascii="Arial" w:hAnsi="Arial" w:cs="Arial"/>
                <w:sz w:val="20"/>
              </w:rPr>
            </w:pPr>
            <w:r>
              <w:rPr>
                <w:rFonts w:cs="Arial" w:ascii="Arial" w:hAnsi="Arial"/>
                <w:sz w:val="20"/>
              </w:rPr>
              <w:t>South California Edison</w:t>
            </w:r>
          </w:p>
        </w:tc>
        <w:tc>
          <w:tcPr>
            <w:tcW w:w="960" w:type="dxa"/>
            <w:tcBorders/>
            <w:vAlign w:val="bottom"/>
          </w:tcPr>
          <w:p>
            <w:pPr>
              <w:pStyle w:val="Normal"/>
              <w:rPr>
                <w:rFonts w:ascii="Arial" w:hAnsi="Arial" w:cs="Arial"/>
                <w:sz w:val="20"/>
              </w:rPr>
            </w:pPr>
            <w:r>
              <w:rPr>
                <w:rFonts w:cs="Arial" w:ascii="Arial" w:hAnsi="Arial"/>
                <w:sz w:val="20"/>
              </w:rPr>
              <w:t>CSC</w:t>
            </w:r>
          </w:p>
        </w:tc>
        <w:tc>
          <w:tcPr>
            <w:tcW w:w="960" w:type="dxa"/>
            <w:tcBorders/>
            <w:vAlign w:val="bottom"/>
          </w:tcPr>
          <w:p>
            <w:pPr>
              <w:pStyle w:val="Normal"/>
              <w:rPr>
                <w:rFonts w:ascii="Arial" w:hAnsi="Arial" w:cs="Arial"/>
                <w:sz w:val="20"/>
              </w:rPr>
            </w:pPr>
            <w:r>
              <w:rPr>
                <w:rFonts w:cs="Arial" w:ascii="Arial" w:hAnsi="Arial"/>
                <w:sz w:val="20"/>
              </w:rPr>
              <w:t>EES</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Electric</w:t>
            </w:r>
          </w:p>
        </w:tc>
        <w:tc>
          <w:tcPr>
            <w:tcW w:w="3920" w:type="dxa"/>
            <w:tcBorders/>
            <w:vAlign w:val="bottom"/>
          </w:tcPr>
          <w:p>
            <w:pPr>
              <w:pStyle w:val="Normal"/>
              <w:rPr>
                <w:rFonts w:ascii="Arial" w:hAnsi="Arial" w:cs="Arial"/>
                <w:sz w:val="20"/>
              </w:rPr>
            </w:pPr>
            <w:r>
              <w:rPr>
                <w:rFonts w:cs="Arial" w:ascii="Arial" w:hAnsi="Arial"/>
                <w:sz w:val="20"/>
              </w:rPr>
              <w:t>CMP</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EES</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Electric</w:t>
            </w:r>
          </w:p>
        </w:tc>
        <w:tc>
          <w:tcPr>
            <w:tcW w:w="3920" w:type="dxa"/>
            <w:tcBorders/>
            <w:vAlign w:val="bottom"/>
          </w:tcPr>
          <w:p>
            <w:pPr>
              <w:pStyle w:val="Normal"/>
              <w:rPr>
                <w:rFonts w:ascii="Arial" w:hAnsi="Arial" w:cs="Arial"/>
                <w:sz w:val="20"/>
              </w:rPr>
            </w:pPr>
            <w:r>
              <w:rPr>
                <w:rFonts w:cs="Arial" w:ascii="Arial" w:hAnsi="Arial"/>
                <w:sz w:val="20"/>
              </w:rPr>
              <w:t>GPU</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EES</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Electric</w:t>
            </w:r>
          </w:p>
        </w:tc>
        <w:tc>
          <w:tcPr>
            <w:tcW w:w="3920" w:type="dxa"/>
            <w:tcBorders/>
            <w:vAlign w:val="bottom"/>
          </w:tcPr>
          <w:p>
            <w:pPr>
              <w:pStyle w:val="Normal"/>
              <w:rPr>
                <w:rFonts w:ascii="Arial" w:hAnsi="Arial" w:cs="Arial"/>
                <w:sz w:val="20"/>
              </w:rPr>
            </w:pPr>
            <w:r>
              <w:rPr>
                <w:rFonts w:cs="Arial" w:ascii="Arial" w:hAnsi="Arial"/>
                <w:sz w:val="20"/>
              </w:rPr>
              <w:t>PSE&amp;G</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EES</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Financial</w:t>
            </w:r>
          </w:p>
        </w:tc>
        <w:tc>
          <w:tcPr>
            <w:tcW w:w="3920" w:type="dxa"/>
            <w:tcBorders/>
            <w:vAlign w:val="bottom"/>
          </w:tcPr>
          <w:p>
            <w:pPr>
              <w:pStyle w:val="Normal"/>
              <w:rPr>
                <w:rFonts w:ascii="Arial" w:hAnsi="Arial" w:cs="Arial"/>
                <w:sz w:val="20"/>
              </w:rPr>
            </w:pPr>
            <w:r>
              <w:rPr>
                <w:rFonts w:cs="Arial" w:ascii="Arial" w:hAnsi="Arial"/>
                <w:sz w:val="20"/>
              </w:rPr>
              <w:t>First Data</w:t>
            </w:r>
          </w:p>
        </w:tc>
        <w:tc>
          <w:tcPr>
            <w:tcW w:w="960" w:type="dxa"/>
            <w:tcBorders/>
            <w:vAlign w:val="bottom"/>
          </w:tcPr>
          <w:p>
            <w:pPr>
              <w:pStyle w:val="Normal"/>
              <w:rPr>
                <w:rFonts w:ascii="Arial" w:hAnsi="Arial" w:cs="Arial"/>
                <w:sz w:val="20"/>
              </w:rPr>
            </w:pPr>
            <w:r>
              <w:rPr>
                <w:rFonts w:cs="Arial" w:ascii="Arial" w:hAnsi="Arial"/>
                <w:sz w:val="20"/>
              </w:rPr>
              <w:t>EES</w:t>
            </w:r>
          </w:p>
        </w:tc>
        <w:tc>
          <w:tcPr>
            <w:tcW w:w="960" w:type="dxa"/>
            <w:tcBorders/>
            <w:vAlign w:val="bottom"/>
          </w:tcPr>
          <w:p>
            <w:pPr>
              <w:pStyle w:val="Normal"/>
              <w:rPr>
                <w:rFonts w:ascii="Arial" w:hAnsi="Arial" w:cs="Arial"/>
                <w:sz w:val="20"/>
              </w:rPr>
            </w:pPr>
            <w:r>
              <w:rPr>
                <w:rFonts w:cs="Arial" w:ascii="Arial" w:hAnsi="Arial"/>
                <w:sz w:val="20"/>
              </w:rPr>
              <w:t>EES</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Financial</w:t>
            </w:r>
          </w:p>
        </w:tc>
        <w:tc>
          <w:tcPr>
            <w:tcW w:w="3920" w:type="dxa"/>
            <w:tcBorders/>
            <w:vAlign w:val="bottom"/>
          </w:tcPr>
          <w:p>
            <w:pPr>
              <w:pStyle w:val="Normal"/>
              <w:rPr>
                <w:rFonts w:ascii="Arial" w:hAnsi="Arial" w:cs="Arial"/>
                <w:sz w:val="20"/>
              </w:rPr>
            </w:pPr>
            <w:r>
              <w:rPr>
                <w:rFonts w:cs="Arial" w:ascii="Arial" w:hAnsi="Arial"/>
                <w:sz w:val="20"/>
              </w:rPr>
              <w:t>Arizona Public Service</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Corp/SAP</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Financial</w:t>
            </w:r>
          </w:p>
        </w:tc>
        <w:tc>
          <w:tcPr>
            <w:tcW w:w="3920" w:type="dxa"/>
            <w:tcBorders/>
            <w:vAlign w:val="bottom"/>
          </w:tcPr>
          <w:p>
            <w:pPr>
              <w:pStyle w:val="Normal"/>
              <w:rPr>
                <w:rFonts w:ascii="Arial" w:hAnsi="Arial" w:cs="Arial"/>
                <w:sz w:val="20"/>
              </w:rPr>
            </w:pPr>
            <w:r>
              <w:rPr>
                <w:rFonts w:cs="Arial" w:ascii="Arial" w:hAnsi="Arial"/>
                <w:sz w:val="20"/>
              </w:rPr>
              <w:t>Central Power &amp; Light</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Corp/SAP</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Financial</w:t>
            </w:r>
          </w:p>
        </w:tc>
        <w:tc>
          <w:tcPr>
            <w:tcW w:w="3920" w:type="dxa"/>
            <w:tcBorders/>
            <w:vAlign w:val="bottom"/>
          </w:tcPr>
          <w:p>
            <w:pPr>
              <w:pStyle w:val="Normal"/>
              <w:rPr>
                <w:rFonts w:ascii="Arial" w:hAnsi="Arial" w:cs="Arial"/>
                <w:sz w:val="20"/>
              </w:rPr>
            </w:pPr>
            <w:r>
              <w:rPr>
                <w:rFonts w:cs="Arial" w:ascii="Arial" w:hAnsi="Arial"/>
                <w:sz w:val="20"/>
              </w:rPr>
              <w:t>Corporate Express</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Corp/SAP</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Financial</w:t>
            </w:r>
          </w:p>
        </w:tc>
        <w:tc>
          <w:tcPr>
            <w:tcW w:w="3920" w:type="dxa"/>
            <w:tcBorders/>
            <w:vAlign w:val="bottom"/>
          </w:tcPr>
          <w:p>
            <w:pPr>
              <w:pStyle w:val="Normal"/>
              <w:rPr>
                <w:rFonts w:ascii="Arial" w:hAnsi="Arial" w:cs="Arial"/>
                <w:sz w:val="20"/>
              </w:rPr>
            </w:pPr>
            <w:r>
              <w:rPr>
                <w:rFonts w:cs="Arial" w:ascii="Arial" w:hAnsi="Arial"/>
                <w:sz w:val="20"/>
              </w:rPr>
              <w:t>Reliant Energy</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Corp/SAP</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Financial</w:t>
            </w:r>
          </w:p>
        </w:tc>
        <w:tc>
          <w:tcPr>
            <w:tcW w:w="3920" w:type="dxa"/>
            <w:tcBorders/>
            <w:vAlign w:val="bottom"/>
          </w:tcPr>
          <w:p>
            <w:pPr>
              <w:pStyle w:val="Normal"/>
              <w:rPr>
                <w:rFonts w:ascii="Arial" w:hAnsi="Arial" w:cs="Arial"/>
                <w:sz w:val="20"/>
              </w:rPr>
            </w:pPr>
            <w:r>
              <w:rPr>
                <w:rFonts w:cs="Arial" w:ascii="Arial" w:hAnsi="Arial"/>
                <w:sz w:val="20"/>
              </w:rPr>
              <w:t>Southwest Public Service</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Corp/SAP</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Financial</w:t>
            </w:r>
          </w:p>
        </w:tc>
        <w:tc>
          <w:tcPr>
            <w:tcW w:w="3920" w:type="dxa"/>
            <w:tcBorders/>
            <w:vAlign w:val="bottom"/>
          </w:tcPr>
          <w:p>
            <w:pPr>
              <w:pStyle w:val="Normal"/>
              <w:rPr>
                <w:rFonts w:ascii="Arial" w:hAnsi="Arial" w:cs="Arial"/>
                <w:sz w:val="20"/>
              </w:rPr>
            </w:pPr>
            <w:r>
              <w:rPr>
                <w:rFonts w:cs="Arial" w:ascii="Arial" w:hAnsi="Arial"/>
                <w:sz w:val="20"/>
              </w:rPr>
              <w:t>TXU Electric</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Corp/SAP</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Financial</w:t>
            </w:r>
          </w:p>
        </w:tc>
        <w:tc>
          <w:tcPr>
            <w:tcW w:w="3920" w:type="dxa"/>
            <w:tcBorders/>
            <w:vAlign w:val="bottom"/>
          </w:tcPr>
          <w:p>
            <w:pPr>
              <w:pStyle w:val="Normal"/>
              <w:rPr>
                <w:rFonts w:ascii="Arial" w:hAnsi="Arial" w:cs="Arial"/>
                <w:sz w:val="20"/>
              </w:rPr>
            </w:pPr>
            <w:r>
              <w:rPr>
                <w:rFonts w:cs="Arial" w:ascii="Arial" w:hAnsi="Arial"/>
                <w:sz w:val="20"/>
              </w:rPr>
              <w:t>Bank Of America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1920" w:type="dxa"/>
            <w:gridSpan w:val="2"/>
            <w:tcBorders/>
            <w:vAlign w:val="bottom"/>
          </w:tcPr>
          <w:p>
            <w:pPr>
              <w:pStyle w:val="Normal"/>
              <w:rPr>
                <w:rFonts w:ascii="Arial" w:hAnsi="Arial" w:cs="Arial"/>
                <w:sz w:val="20"/>
              </w:rPr>
            </w:pPr>
            <w:r>
              <w:rPr>
                <w:rFonts w:cs="Arial" w:ascii="Arial" w:hAnsi="Arial"/>
                <w:sz w:val="20"/>
              </w:rPr>
              <w:t>SAP/Treasury</w:t>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Financial</w:t>
            </w:r>
          </w:p>
        </w:tc>
        <w:tc>
          <w:tcPr>
            <w:tcW w:w="3920" w:type="dxa"/>
            <w:tcBorders/>
            <w:vAlign w:val="bottom"/>
          </w:tcPr>
          <w:p>
            <w:pPr>
              <w:pStyle w:val="Normal"/>
              <w:rPr>
                <w:rFonts w:ascii="Arial" w:hAnsi="Arial" w:cs="Arial"/>
                <w:sz w:val="20"/>
              </w:rPr>
            </w:pPr>
            <w:r>
              <w:rPr>
                <w:rFonts w:cs="Arial" w:ascii="Arial" w:hAnsi="Arial"/>
                <w:sz w:val="20"/>
              </w:rPr>
              <w:t>Chase Bank</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1920" w:type="dxa"/>
            <w:gridSpan w:val="2"/>
            <w:tcBorders/>
            <w:vAlign w:val="bottom"/>
          </w:tcPr>
          <w:p>
            <w:pPr>
              <w:pStyle w:val="Normal"/>
              <w:rPr>
                <w:rFonts w:ascii="Arial" w:hAnsi="Arial" w:cs="Arial"/>
                <w:sz w:val="20"/>
              </w:rPr>
            </w:pPr>
            <w:r>
              <w:rPr>
                <w:rFonts w:cs="Arial" w:ascii="Arial" w:hAnsi="Arial"/>
                <w:sz w:val="20"/>
              </w:rPr>
              <w:t>SAP/Treasury</w:t>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Financial</w:t>
            </w:r>
          </w:p>
        </w:tc>
        <w:tc>
          <w:tcPr>
            <w:tcW w:w="3920" w:type="dxa"/>
            <w:tcBorders/>
            <w:vAlign w:val="bottom"/>
          </w:tcPr>
          <w:p>
            <w:pPr>
              <w:pStyle w:val="Normal"/>
              <w:rPr>
                <w:rFonts w:ascii="Arial" w:hAnsi="Arial" w:cs="Arial"/>
                <w:sz w:val="20"/>
              </w:rPr>
            </w:pPr>
            <w:r>
              <w:rPr>
                <w:rFonts w:cs="Arial" w:ascii="Arial" w:hAnsi="Arial"/>
                <w:sz w:val="20"/>
              </w:rPr>
              <w:t>Citibank</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1920" w:type="dxa"/>
            <w:gridSpan w:val="2"/>
            <w:tcBorders/>
            <w:vAlign w:val="bottom"/>
          </w:tcPr>
          <w:p>
            <w:pPr>
              <w:pStyle w:val="Normal"/>
              <w:rPr>
                <w:rFonts w:ascii="Arial" w:hAnsi="Arial" w:cs="Arial"/>
                <w:sz w:val="20"/>
              </w:rPr>
            </w:pPr>
            <w:r>
              <w:rPr>
                <w:rFonts w:cs="Arial" w:ascii="Arial" w:hAnsi="Arial"/>
                <w:sz w:val="20"/>
              </w:rPr>
              <w:t>SAP/Treasury</w:t>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Financial</w:t>
            </w:r>
          </w:p>
        </w:tc>
        <w:tc>
          <w:tcPr>
            <w:tcW w:w="3920" w:type="dxa"/>
            <w:tcBorders/>
            <w:vAlign w:val="bottom"/>
          </w:tcPr>
          <w:p>
            <w:pPr>
              <w:pStyle w:val="Normal"/>
              <w:rPr>
                <w:rFonts w:ascii="Arial" w:hAnsi="Arial" w:cs="Arial"/>
                <w:sz w:val="20"/>
              </w:rPr>
            </w:pPr>
            <w:r>
              <w:rPr>
                <w:rFonts w:cs="Arial" w:ascii="Arial" w:hAnsi="Arial"/>
                <w:sz w:val="20"/>
              </w:rPr>
              <w:t>First Chicago</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1920" w:type="dxa"/>
            <w:gridSpan w:val="2"/>
            <w:tcBorders/>
            <w:vAlign w:val="bottom"/>
          </w:tcPr>
          <w:p>
            <w:pPr>
              <w:pStyle w:val="Normal"/>
              <w:rPr>
                <w:rFonts w:ascii="Arial" w:hAnsi="Arial" w:cs="Arial"/>
                <w:sz w:val="20"/>
              </w:rPr>
            </w:pPr>
            <w:r>
              <w:rPr>
                <w:rFonts w:cs="Arial" w:ascii="Arial" w:hAnsi="Arial"/>
                <w:sz w:val="20"/>
              </w:rPr>
              <w:t>SAP/Treasury</w:t>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Financial</w:t>
            </w:r>
          </w:p>
        </w:tc>
        <w:tc>
          <w:tcPr>
            <w:tcW w:w="3920" w:type="dxa"/>
            <w:tcBorders/>
            <w:vAlign w:val="bottom"/>
          </w:tcPr>
          <w:p>
            <w:pPr>
              <w:pStyle w:val="Normal"/>
              <w:rPr>
                <w:rFonts w:ascii="Arial" w:hAnsi="Arial" w:cs="Arial"/>
                <w:sz w:val="20"/>
              </w:rPr>
            </w:pPr>
            <w:r>
              <w:rPr>
                <w:rFonts w:cs="Arial" w:ascii="Arial" w:hAnsi="Arial"/>
                <w:sz w:val="20"/>
              </w:rPr>
              <w:t>Toronto Dominion</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1920" w:type="dxa"/>
            <w:gridSpan w:val="2"/>
            <w:tcBorders/>
            <w:vAlign w:val="bottom"/>
          </w:tcPr>
          <w:p>
            <w:pPr>
              <w:pStyle w:val="Normal"/>
              <w:rPr>
                <w:rFonts w:ascii="Arial" w:hAnsi="Arial" w:cs="Arial"/>
                <w:sz w:val="20"/>
              </w:rPr>
            </w:pPr>
            <w:r>
              <w:rPr>
                <w:rFonts w:cs="Arial" w:ascii="Arial" w:hAnsi="Arial"/>
                <w:sz w:val="20"/>
              </w:rPr>
              <w:t>SAP/Treasury</w:t>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Algonquin</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ENA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ANR Pipeline</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ENA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CNG Transmission</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ENA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Colorado Interstate Gas</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ENA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Columbia Gulf</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ENA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CROD</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ENA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East Tennessee</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ENA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El Paso Natural Gas</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ENA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High Island Offshore System</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ENA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Iroquois</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ENA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Koch Industries</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ENA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Midwestern Gas Transmission</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ENA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National Fuels</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ENA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Northwest Pipeline</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ENA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Oklahoma Severence Taxes</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ENA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Panhandle Eastern Pipeline</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ENA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Peoples Gas</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ENA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Questar</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ENA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Reliant Energy</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ENA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Sea Robin Pipeline</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ENA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South Georgia Natural Gas</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ENA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Southern Natural Gas</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ENA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Stingray Pipeline</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ENA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Tennessee</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ENA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TETCO</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ENA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Texas Severence Taxes</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ENA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TGT</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ENA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Transcapacity (Skipping Stone)</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ENA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Transco</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ENA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Trunkline Gas</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ENA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U-T Offshore System</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ENA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Wisconsin Gas</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ENA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El Paso Natural Gas</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FGT</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Gaslantic</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FGT</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NGC</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FGT</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Sonat</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FGT</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Transcapacity (Skipping Stone)</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FGT</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Citrus</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FTG</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Peoples Gas</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FTG</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Entex</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HPL</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Reliant Energy</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HPL</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Cibola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NB</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Mid American Gas</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NB</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Tenaska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NB</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Transcapacity (Skipping Stone)</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NB</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Cibola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NNG</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Citrus</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NNG</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Mid American Gas</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NNG</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Minnegasco</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NNG</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NGC</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NNG</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Nicor</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NNG</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NSP</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NNG</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Tenaska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NNG</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Texaco</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NNG</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Transcapacity (Skipping Stone)</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NNG</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U.S. Energy</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NNG</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Utilicorp</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NNG</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Wepco</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NNG</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Wisconsin Gas</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NNG</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Socal</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TW</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Transcapacity (Skipping Stone)</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TW</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 xml:space="preserve">Gas </w:t>
            </w:r>
          </w:p>
        </w:tc>
        <w:tc>
          <w:tcPr>
            <w:tcW w:w="3920" w:type="dxa"/>
            <w:tcBorders/>
            <w:vAlign w:val="bottom"/>
          </w:tcPr>
          <w:p>
            <w:pPr>
              <w:pStyle w:val="Normal"/>
              <w:rPr>
                <w:rFonts w:ascii="Arial" w:hAnsi="Arial" w:cs="Arial"/>
                <w:sz w:val="20"/>
              </w:rPr>
            </w:pPr>
            <w:r>
              <w:rPr>
                <w:rFonts w:cs="Arial" w:ascii="Arial" w:hAnsi="Arial"/>
                <w:sz w:val="20"/>
              </w:rPr>
              <w:t>Dynergy</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FGT</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 xml:space="preserve">Gas </w:t>
            </w:r>
          </w:p>
        </w:tc>
        <w:tc>
          <w:tcPr>
            <w:tcW w:w="3920" w:type="dxa"/>
            <w:tcBorders/>
            <w:vAlign w:val="bottom"/>
          </w:tcPr>
          <w:p>
            <w:pPr>
              <w:pStyle w:val="Normal"/>
              <w:rPr>
                <w:rFonts w:ascii="Arial" w:hAnsi="Arial" w:cs="Arial"/>
                <w:sz w:val="20"/>
              </w:rPr>
            </w:pPr>
            <w:r>
              <w:rPr>
                <w:rFonts w:cs="Arial" w:ascii="Arial" w:hAnsi="Arial"/>
                <w:sz w:val="20"/>
              </w:rPr>
              <w:t>Dynergy</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NB</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 xml:space="preserve">Gas </w:t>
            </w:r>
          </w:p>
        </w:tc>
        <w:tc>
          <w:tcPr>
            <w:tcW w:w="3920" w:type="dxa"/>
            <w:tcBorders/>
            <w:vAlign w:val="bottom"/>
          </w:tcPr>
          <w:p>
            <w:pPr>
              <w:pStyle w:val="Normal"/>
              <w:rPr>
                <w:rFonts w:ascii="Arial" w:hAnsi="Arial" w:cs="Arial"/>
                <w:sz w:val="20"/>
              </w:rPr>
            </w:pPr>
            <w:r>
              <w:rPr>
                <w:rFonts w:cs="Arial" w:ascii="Arial" w:hAnsi="Arial"/>
                <w:sz w:val="20"/>
              </w:rPr>
              <w:t>Dynergy</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NNG</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 xml:space="preserve">Gas </w:t>
            </w:r>
          </w:p>
        </w:tc>
        <w:tc>
          <w:tcPr>
            <w:tcW w:w="3920" w:type="dxa"/>
            <w:tcBorders/>
            <w:vAlign w:val="bottom"/>
          </w:tcPr>
          <w:p>
            <w:pPr>
              <w:pStyle w:val="Normal"/>
              <w:rPr>
                <w:rFonts w:ascii="Arial" w:hAnsi="Arial" w:cs="Arial"/>
                <w:sz w:val="20"/>
              </w:rPr>
            </w:pPr>
            <w:r>
              <w:rPr>
                <w:rFonts w:cs="Arial" w:ascii="Arial" w:hAnsi="Arial"/>
                <w:sz w:val="20"/>
              </w:rPr>
              <w:t>Transcanada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NNG</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Other</w:t>
            </w:r>
          </w:p>
        </w:tc>
        <w:tc>
          <w:tcPr>
            <w:tcW w:w="3920" w:type="dxa"/>
            <w:tcBorders/>
            <w:vAlign w:val="bottom"/>
          </w:tcPr>
          <w:p>
            <w:pPr>
              <w:pStyle w:val="Normal"/>
              <w:rPr>
                <w:rFonts w:ascii="Arial" w:hAnsi="Arial" w:cs="Arial"/>
                <w:sz w:val="20"/>
              </w:rPr>
            </w:pPr>
            <w:r>
              <w:rPr>
                <w:rFonts w:cs="Arial" w:ascii="Arial" w:hAnsi="Arial"/>
                <w:sz w:val="20"/>
              </w:rPr>
              <w:t>PacTel</w:t>
            </w:r>
          </w:p>
        </w:tc>
        <w:tc>
          <w:tcPr>
            <w:tcW w:w="960" w:type="dxa"/>
            <w:tcBorders/>
            <w:vAlign w:val="bottom"/>
          </w:tcPr>
          <w:p>
            <w:pPr>
              <w:pStyle w:val="Normal"/>
              <w:rPr>
                <w:rFonts w:ascii="Arial" w:hAnsi="Arial" w:cs="Arial"/>
                <w:sz w:val="20"/>
              </w:rPr>
            </w:pPr>
            <w:r>
              <w:rPr>
                <w:rFonts w:cs="Arial" w:ascii="Arial" w:hAnsi="Arial"/>
                <w:sz w:val="20"/>
              </w:rPr>
              <w:t>CSC</w:t>
            </w:r>
          </w:p>
        </w:tc>
        <w:tc>
          <w:tcPr>
            <w:tcW w:w="960" w:type="dxa"/>
            <w:tcBorders/>
            <w:vAlign w:val="bottom"/>
          </w:tcPr>
          <w:p>
            <w:pPr>
              <w:pStyle w:val="Normal"/>
              <w:rPr>
                <w:rFonts w:ascii="Arial" w:hAnsi="Arial" w:cs="Arial"/>
                <w:sz w:val="20"/>
              </w:rPr>
            </w:pPr>
            <w:r>
              <w:rPr>
                <w:rFonts w:cs="Arial" w:ascii="Arial" w:hAnsi="Arial"/>
                <w:sz w:val="20"/>
              </w:rPr>
              <w:t>EES</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Other</w:t>
            </w:r>
          </w:p>
        </w:tc>
        <w:tc>
          <w:tcPr>
            <w:tcW w:w="3920" w:type="dxa"/>
            <w:tcBorders/>
            <w:vAlign w:val="bottom"/>
          </w:tcPr>
          <w:p>
            <w:pPr>
              <w:pStyle w:val="Normal"/>
              <w:rPr>
                <w:rFonts w:ascii="Arial" w:hAnsi="Arial" w:cs="Arial"/>
                <w:sz w:val="20"/>
              </w:rPr>
            </w:pPr>
            <w:r>
              <w:rPr>
                <w:rFonts w:cs="Arial" w:ascii="Arial" w:hAnsi="Arial"/>
                <w:sz w:val="20"/>
              </w:rPr>
              <w:t>Payless</w:t>
            </w:r>
          </w:p>
        </w:tc>
        <w:tc>
          <w:tcPr>
            <w:tcW w:w="960" w:type="dxa"/>
            <w:tcBorders/>
            <w:vAlign w:val="bottom"/>
          </w:tcPr>
          <w:p>
            <w:pPr>
              <w:pStyle w:val="Normal"/>
              <w:rPr>
                <w:rFonts w:ascii="Arial" w:hAnsi="Arial" w:cs="Arial"/>
                <w:sz w:val="20"/>
              </w:rPr>
            </w:pPr>
            <w:r>
              <w:rPr>
                <w:rFonts w:cs="Arial" w:ascii="Arial" w:hAnsi="Arial"/>
                <w:sz w:val="20"/>
              </w:rPr>
              <w:t>CSC</w:t>
            </w:r>
          </w:p>
        </w:tc>
        <w:tc>
          <w:tcPr>
            <w:tcW w:w="960" w:type="dxa"/>
            <w:tcBorders/>
            <w:vAlign w:val="bottom"/>
          </w:tcPr>
          <w:p>
            <w:pPr>
              <w:pStyle w:val="Normal"/>
              <w:rPr>
                <w:rFonts w:ascii="Arial" w:hAnsi="Arial" w:cs="Arial"/>
                <w:sz w:val="20"/>
              </w:rPr>
            </w:pPr>
            <w:r>
              <w:rPr>
                <w:rFonts w:cs="Arial" w:ascii="Arial" w:hAnsi="Arial"/>
                <w:sz w:val="20"/>
              </w:rPr>
              <w:t>EES</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Other</w:t>
            </w:r>
          </w:p>
        </w:tc>
        <w:tc>
          <w:tcPr>
            <w:tcW w:w="3920" w:type="dxa"/>
            <w:tcBorders/>
            <w:vAlign w:val="bottom"/>
          </w:tcPr>
          <w:p>
            <w:pPr>
              <w:pStyle w:val="Normal"/>
              <w:rPr>
                <w:rFonts w:ascii="Arial" w:hAnsi="Arial" w:cs="Arial"/>
                <w:sz w:val="20"/>
              </w:rPr>
            </w:pPr>
            <w:r>
              <w:rPr>
                <w:rFonts w:cs="Arial" w:ascii="Arial" w:hAnsi="Arial"/>
                <w:sz w:val="20"/>
              </w:rPr>
              <w:t>Rolfe &amp; Nolan</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1920" w:type="dxa"/>
            <w:gridSpan w:val="2"/>
            <w:tcBorders/>
            <w:vAlign w:val="bottom"/>
          </w:tcPr>
          <w:p>
            <w:pPr>
              <w:pStyle w:val="Normal"/>
              <w:rPr>
                <w:rFonts w:ascii="Arial" w:hAnsi="Arial" w:cs="Arial"/>
                <w:sz w:val="20"/>
              </w:rPr>
            </w:pPr>
            <w:r>
              <w:rPr>
                <w:rFonts w:cs="Arial" w:ascii="Arial" w:hAnsi="Arial"/>
                <w:sz w:val="20"/>
              </w:rPr>
              <w:t>Enron Metals</w:t>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Other</w:t>
            </w:r>
          </w:p>
        </w:tc>
        <w:tc>
          <w:tcPr>
            <w:tcW w:w="3920" w:type="dxa"/>
            <w:tcBorders/>
            <w:vAlign w:val="bottom"/>
          </w:tcPr>
          <w:p>
            <w:pPr>
              <w:pStyle w:val="Normal"/>
              <w:rPr>
                <w:rFonts w:ascii="Arial" w:hAnsi="Arial" w:cs="Arial"/>
                <w:sz w:val="20"/>
              </w:rPr>
            </w:pPr>
            <w:r>
              <w:rPr>
                <w:rFonts w:cs="Arial" w:ascii="Arial" w:hAnsi="Arial"/>
                <w:sz w:val="20"/>
              </w:rPr>
              <w:t>Federal Energy Regulatory Commission</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FGT</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Other</w:t>
            </w:r>
          </w:p>
        </w:tc>
        <w:tc>
          <w:tcPr>
            <w:tcW w:w="3920" w:type="dxa"/>
            <w:tcBorders/>
            <w:vAlign w:val="bottom"/>
          </w:tcPr>
          <w:p>
            <w:pPr>
              <w:pStyle w:val="Normal"/>
              <w:rPr>
                <w:rFonts w:ascii="Arial" w:hAnsi="Arial" w:cs="Arial"/>
                <w:sz w:val="20"/>
              </w:rPr>
            </w:pPr>
            <w:r>
              <w:rPr>
                <w:rFonts w:cs="Arial" w:ascii="Arial" w:hAnsi="Arial"/>
                <w:sz w:val="20"/>
              </w:rPr>
              <w:t>Federal Energy Regulatory Commission</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NNG</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Other</w:t>
            </w:r>
          </w:p>
        </w:tc>
        <w:tc>
          <w:tcPr>
            <w:tcW w:w="3920" w:type="dxa"/>
            <w:tcBorders/>
            <w:vAlign w:val="bottom"/>
          </w:tcPr>
          <w:p>
            <w:pPr>
              <w:pStyle w:val="Normal"/>
              <w:rPr>
                <w:rFonts w:ascii="Arial" w:hAnsi="Arial" w:cs="Arial"/>
                <w:sz w:val="20"/>
              </w:rPr>
            </w:pPr>
            <w:r>
              <w:rPr>
                <w:rFonts w:cs="Arial" w:ascii="Arial" w:hAnsi="Arial"/>
                <w:sz w:val="20"/>
              </w:rPr>
              <w:t>Federal Energy Regulatory Commission</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TW</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snapToGrid w:val="false"/>
              <w:rPr>
                <w:rFonts w:ascii="Arial" w:hAnsi="Arial" w:cs="Arial"/>
                <w:sz w:val="20"/>
              </w:rPr>
            </w:pPr>
            <w:r>
              <w:rPr>
                <w:rFonts w:cs="Arial" w:ascii="Arial" w:hAnsi="Arial"/>
                <w:sz w:val="20"/>
              </w:rPr>
            </w:r>
          </w:p>
        </w:tc>
        <w:tc>
          <w:tcPr>
            <w:tcW w:w="392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snapToGrid w:val="false"/>
              <w:rPr>
                <w:rFonts w:ascii="Arial" w:hAnsi="Arial" w:cs="Arial"/>
                <w:sz w:val="20"/>
              </w:rPr>
            </w:pPr>
            <w:r>
              <w:rPr>
                <w:rFonts w:cs="Arial" w:ascii="Arial" w:hAnsi="Arial"/>
                <w:sz w:val="20"/>
              </w:rPr>
            </w:r>
          </w:p>
        </w:tc>
        <w:tc>
          <w:tcPr>
            <w:tcW w:w="392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5180" w:type="dxa"/>
            <w:gridSpan w:val="2"/>
            <w:tcBorders/>
            <w:vAlign w:val="bottom"/>
          </w:tcPr>
          <w:p>
            <w:pPr>
              <w:pStyle w:val="Normal"/>
              <w:rPr>
                <w:rFonts w:ascii="Arial" w:hAnsi="Arial" w:cs="Arial"/>
                <w:b/>
                <w:sz w:val="20"/>
              </w:rPr>
            </w:pPr>
            <w:r>
              <w:rPr>
                <w:rFonts w:cs="Arial" w:ascii="Arial" w:hAnsi="Arial"/>
                <w:b/>
                <w:sz w:val="20"/>
              </w:rPr>
              <w:t>Internal Trading</w:t>
            </w:r>
          </w:p>
        </w:tc>
        <w:tc>
          <w:tcPr>
            <w:tcW w:w="960" w:type="dxa"/>
            <w:tcBorders/>
            <w:vAlign w:val="bottom"/>
          </w:tcPr>
          <w:p>
            <w:pPr>
              <w:pStyle w:val="Normal"/>
              <w:snapToGrid w:val="false"/>
              <w:rPr>
                <w:rFonts w:ascii="Arial" w:hAnsi="Arial" w:cs="Arial"/>
                <w:b/>
                <w:sz w:val="20"/>
              </w:rPr>
            </w:pPr>
            <w:r>
              <w:rPr>
                <w:rFonts w:cs="Arial" w:ascii="Arial" w:hAnsi="Arial"/>
                <w:b/>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snapToGrid w:val="false"/>
              <w:rPr>
                <w:rFonts w:ascii="Arial" w:hAnsi="Arial" w:cs="Arial"/>
                <w:sz w:val="20"/>
              </w:rPr>
            </w:pPr>
            <w:r>
              <w:rPr>
                <w:rFonts w:cs="Arial" w:ascii="Arial" w:hAnsi="Arial"/>
                <w:sz w:val="20"/>
              </w:rPr>
            </w:r>
          </w:p>
        </w:tc>
        <w:tc>
          <w:tcPr>
            <w:tcW w:w="392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Houston Pipeline</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FGT</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Houston Pipeline</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ENA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Florida Gas Transmission</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ENA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Transwestern</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ENA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Northern Natural</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ENA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Northern Plains</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ENA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Northern Plains</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NNG</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rPr>
                <w:rFonts w:ascii="Arial" w:hAnsi="Arial" w:cs="Arial"/>
                <w:sz w:val="20"/>
              </w:rPr>
            </w:pPr>
            <w:r>
              <w:rPr>
                <w:rFonts w:cs="Arial" w:ascii="Arial" w:hAnsi="Arial"/>
                <w:sz w:val="20"/>
              </w:rPr>
              <w:t>Gas</w:t>
            </w:r>
          </w:p>
        </w:tc>
        <w:tc>
          <w:tcPr>
            <w:tcW w:w="3920" w:type="dxa"/>
            <w:tcBorders/>
            <w:vAlign w:val="bottom"/>
          </w:tcPr>
          <w:p>
            <w:pPr>
              <w:pStyle w:val="Normal"/>
              <w:rPr>
                <w:rFonts w:ascii="Arial" w:hAnsi="Arial" w:cs="Arial"/>
                <w:sz w:val="20"/>
              </w:rPr>
            </w:pPr>
            <w:r>
              <w:rPr>
                <w:rFonts w:cs="Arial" w:ascii="Arial" w:hAnsi="Arial"/>
                <w:sz w:val="20"/>
              </w:rPr>
              <w:t>TW</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ENA</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1260" w:type="dxa"/>
            <w:tcBorders/>
            <w:vAlign w:val="bottom"/>
          </w:tcPr>
          <w:p>
            <w:pPr>
              <w:pStyle w:val="Normal"/>
              <w:snapToGrid w:val="false"/>
              <w:rPr>
                <w:rFonts w:ascii="Arial" w:hAnsi="Arial" w:cs="Arial"/>
                <w:sz w:val="20"/>
              </w:rPr>
            </w:pPr>
            <w:r>
              <w:rPr>
                <w:rFonts w:cs="Arial" w:ascii="Arial" w:hAnsi="Arial"/>
                <w:sz w:val="20"/>
              </w:rPr>
            </w:r>
          </w:p>
        </w:tc>
        <w:tc>
          <w:tcPr>
            <w:tcW w:w="392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bl>
    <w:p>
      <w:pPr>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fmt="decimal"/>
          <w:formProt w:val="false"/>
          <w:titlePg/>
          <w:textDirection w:val="lrTb"/>
          <w:docGrid w:type="default" w:linePitch="360" w:charSpace="0"/>
        </w:sectPr>
      </w:pPr>
    </w:p>
    <w:p>
      <w:pPr>
        <w:pStyle w:val="CenteredHeading"/>
        <w:rPr/>
      </w:pPr>
      <w:r>
        <w:rPr/>
        <w:t>SCHEDULE 1.1(d)</w:t>
      </w:r>
    </w:p>
    <w:p>
      <w:pPr>
        <w:pStyle w:val="CenteredHeading"/>
        <w:rPr>
          <w:u w:val="none"/>
        </w:rPr>
      </w:pPr>
      <w:r>
        <w:rPr>
          <w:u w:val="none"/>
        </w:rPr>
        <w:t>CUSTOMER CONTRACTS</w:t>
      </w:r>
    </w:p>
    <w:p>
      <w:pPr>
        <w:sectPr>
          <w:headerReference w:type="default" r:id="rId22"/>
          <w:headerReference w:type="first" r:id="rId23"/>
          <w:footerReference w:type="default" r:id="rId24"/>
          <w:footerReference w:type="first" r:id="rId25"/>
          <w:type w:val="nextPage"/>
          <w:pgSz w:w="12240" w:h="15840"/>
          <w:pgMar w:left="1440" w:right="1440" w:gutter="0" w:header="720" w:top="1440" w:footer="720" w:bottom="1440"/>
          <w:pgNumType w:fmt="decimal"/>
          <w:formProt w:val="false"/>
          <w:titlePg/>
          <w:textDirection w:val="lrTb"/>
          <w:docGrid w:type="default" w:linePitch="360" w:charSpace="0"/>
        </w:sectPr>
        <w:pStyle w:val="BodyText2"/>
        <w:rPr/>
      </w:pPr>
      <w:r>
        <w:rPr/>
        <w:t>None.</w:t>
      </w:r>
    </w:p>
    <w:p>
      <w:pPr>
        <w:pStyle w:val="CenteredHeading"/>
        <w:rPr/>
      </w:pPr>
      <w:r>
        <w:rPr/>
        <w:t>SCHEDULE 1.8(b)</w:t>
      </w:r>
    </w:p>
    <w:p>
      <w:pPr>
        <w:pStyle w:val="CenteredHeading"/>
        <w:rPr>
          <w:u w:val="none"/>
        </w:rPr>
      </w:pPr>
      <w:r>
        <w:rPr>
          <w:u w:val="none"/>
        </w:rPr>
        <w:t>EXCLUDED ASSETS</w:t>
      </w:r>
    </w:p>
    <w:p>
      <w:pPr>
        <w:pStyle w:val="List"/>
        <w:numPr>
          <w:ilvl w:val="0"/>
          <w:numId w:val="21"/>
        </w:numPr>
        <w:ind w:hanging="0" w:start="0"/>
        <w:rPr/>
      </w:pPr>
      <w:r>
        <w:rPr/>
        <w:t>All third party software, programs, utilities and the like which are utilized in conjunction with the operation, development, support or maintenance of the Purchased Assets, excluding unique configurations and outputs (the “</w:t>
      </w:r>
      <w:r>
        <w:rPr>
          <w:u w:val="single"/>
        </w:rPr>
        <w:t>Third Party Software</w:t>
      </w:r>
      <w:r>
        <w:rPr/>
        <w:t xml:space="preserve">”), including, but not limited to the following Third Party Software programs which Seller utilizes in connection with the Software being sold hereunder and listed on the attachment to this </w:t>
      </w:r>
      <w:r>
        <w:rPr>
          <w:u w:val="single"/>
        </w:rPr>
        <w:t>Schedule 1.8(b)</w:t>
      </w:r>
      <w:r>
        <w:rPr/>
        <w:t>.</w:t>
      </w:r>
    </w:p>
    <w:p>
      <w:pPr>
        <w:pStyle w:val="BodyTextIndent"/>
        <w:rPr/>
      </w:pPr>
      <w:r>
        <w:rPr/>
        <w:t xml:space="preserve">Purchaser acknowledges that, as with any Third Party Software, to the extent that it does not currently hold such licenses, Purchaser would need to obtain any necessary licenses with respect to the foregoing Third Party Software prior to utilizing any such software.  </w:t>
      </w:r>
    </w:p>
    <w:p>
      <w:pPr>
        <w:pStyle w:val="List"/>
        <w:numPr>
          <w:ilvl w:val="0"/>
          <w:numId w:val="17"/>
        </w:numPr>
        <w:ind w:hanging="0" w:start="0"/>
        <w:rPr/>
      </w:pPr>
      <w:r>
        <w:rPr/>
        <w:t xml:space="preserve">All computers, work-stations, hubs, routers, servers, modems, hardware, equipment, and network communication devices; </w:t>
      </w:r>
      <w:r>
        <w:rPr>
          <w:u w:val="single"/>
        </w:rPr>
        <w:t>provided</w:t>
      </w:r>
      <w:r>
        <w:rPr/>
        <w:t xml:space="preserve"> that no copies or portions of the Software or Purchased Assets shall be permitted to reside on these devices, except in accordance with a license from Purchaser.</w:t>
      </w:r>
    </w:p>
    <w:p>
      <w:pPr>
        <w:pStyle w:val="List"/>
        <w:numPr>
          <w:ilvl w:val="0"/>
          <w:numId w:val="17"/>
        </w:numPr>
        <w:ind w:hanging="0" w:start="0"/>
        <w:rPr/>
      </w:pPr>
      <w:r>
        <w:rPr/>
        <w:t xml:space="preserve">The PGE Data Maps; </w:t>
      </w:r>
      <w:r>
        <w:rPr>
          <w:u w:val="single"/>
        </w:rPr>
        <w:t>provided</w:t>
      </w:r>
      <w:r>
        <w:rPr/>
        <w:t xml:space="preserve">, </w:t>
      </w:r>
      <w:r>
        <w:rPr>
          <w:u w:val="single"/>
        </w:rPr>
        <w:t>however</w:t>
      </w:r>
      <w:r>
        <w:rPr/>
        <w:t>, if any such Excluded Assets are determined to be necessary or useful in operating the Software, then such assets shall be deemed Purchased Assets and a part of the Software sold pursuant to the Agreement and shall be promptly transferred to Purchaser.</w:t>
      </w:r>
    </w:p>
    <w:p>
      <w:pPr>
        <w:sectPr>
          <w:headerReference w:type="default" r:id="rId26"/>
          <w:headerReference w:type="first" r:id="rId27"/>
          <w:footerReference w:type="default" r:id="rId28"/>
          <w:footerReference w:type="first" r:id="rId29"/>
          <w:type w:val="nextPage"/>
          <w:pgSz w:w="12240" w:h="15840"/>
          <w:pgMar w:left="1440" w:right="1440" w:gutter="0" w:header="720" w:top="1440" w:footer="720" w:bottom="1440"/>
          <w:pgNumType w:fmt="decimal"/>
          <w:formProt w:val="false"/>
          <w:titlePg/>
          <w:textDirection w:val="lrTb"/>
          <w:docGrid w:type="default" w:linePitch="360" w:charSpace="0"/>
        </w:sectPr>
        <w:pStyle w:val="BodyNumHang"/>
        <w:numPr>
          <w:ilvl w:val="0"/>
          <w:numId w:val="0"/>
        </w:numPr>
        <w:ind w:hanging="0" w:start="0"/>
        <w:rPr/>
      </w:pPr>
      <w:r>
        <w:rPr/>
      </w:r>
    </w:p>
    <w:p>
      <w:pPr>
        <w:pStyle w:val="CenteredHeading"/>
        <w:rPr/>
      </w:pPr>
      <w:r>
        <w:rPr/>
        <w:t>ATTACHMENT TO SCHEDULE 1.8(b)</w:t>
      </w:r>
    </w:p>
    <w:p>
      <w:pPr>
        <w:pStyle w:val="Normal"/>
        <w:jc w:val="center"/>
        <w:rPr/>
      </w:pPr>
      <w:r>
        <w:rPr/>
        <w:t>Customer’s Third-Party Software</w:t>
      </w:r>
    </w:p>
    <w:p>
      <w:pPr>
        <w:pStyle w:val="Normal"/>
        <w:jc w:val="center"/>
        <w:rPr/>
      </w:pPr>
      <w:r>
        <w:rPr/>
      </w:r>
    </w:p>
    <w:p>
      <w:pPr>
        <w:pStyle w:val="Normal"/>
        <w:jc w:val="center"/>
        <w:rPr/>
      </w:pPr>
      <w:r>
        <w:rPr/>
        <w:t>(See attached)</w:t>
      </w:r>
    </w:p>
    <w:p>
      <w:pPr>
        <w:sectPr>
          <w:headerReference w:type="default" r:id="rId32"/>
          <w:headerReference w:type="first" r:id="rId33"/>
          <w:footerReference w:type="default" r:id="rId34"/>
          <w:footerReference w:type="first" r:id="rId35"/>
          <w:type w:val="nextPage"/>
          <w:pgSz w:w="12240" w:h="15840"/>
          <w:pgMar w:left="1440" w:right="1440" w:gutter="0" w:header="720" w:top="1440" w:footer="720" w:bottom="1440"/>
          <w:pgNumType w:fmt="decimal"/>
          <w:formProt w:val="false"/>
          <w:titlePg/>
          <w:textDirection w:val="lrTb"/>
          <w:docGrid w:type="default" w:linePitch="360" w:charSpace="0"/>
        </w:sectPr>
        <w:pStyle w:val="BodyNumHang"/>
        <w:numPr>
          <w:ilvl w:val="0"/>
          <w:numId w:val="0"/>
        </w:numPr>
        <w:ind w:hanging="0" w:start="0"/>
        <w:rPr>
          <w:lang w:val="en-CA" w:eastAsia="en-CA"/>
        </w:rPr>
      </w:pPr>
      <w:r>
        <w:rPr>
          <w:lang w:val="en-CA" w:eastAsia="en-CA"/>
        </w:rPr>
        <w:object w:dxaOrig="9403" w:dyaOrig="1306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position:absolute;margin-left:-14.6pt;margin-top:-48.4pt;width:470.15pt;height:653pt;mso-wrap-distance-left:9.05pt;mso-wrap-distance-right:9.05pt;mso-position-horizontal-relative:text;mso-position-vertical-relative:text" filled="f" o:ole="">
            <v:imagedata r:id="rId31" o:title=""/>
          </v:shape>
          <o:OLEObject Type="Embed" ProgID="" ShapeID="ole_rId30" DrawAspect="Content" ObjectID="_685587981" r:id="rId30"/>
        </w:object>
      </w:r>
    </w:p>
    <w:p>
      <w:pPr>
        <w:pStyle w:val="CenteredHeading"/>
        <w:rPr/>
      </w:pPr>
      <w:r>
        <w:rPr/>
        <w:t>Schedule 2.1(g)(ii)</w:t>
      </w:r>
    </w:p>
    <w:p>
      <w:pPr>
        <w:pStyle w:val="CenteredHeading"/>
        <w:rPr>
          <w:u w:val="none"/>
        </w:rPr>
      </w:pPr>
      <w:r>
        <w:rPr>
          <w:u w:val="none"/>
        </w:rPr>
        <w:t>INTELLECTUAL PROPERTY RIGHTS</w:t>
      </w:r>
    </w:p>
    <w:p>
      <w:pPr>
        <w:pStyle w:val="BodyText2"/>
        <w:rPr/>
      </w:pPr>
      <w:r>
        <w:rPr/>
        <w:t>None.</w:t>
      </w:r>
    </w:p>
    <w:p>
      <w:pPr>
        <w:sectPr>
          <w:headerReference w:type="default" r:id="rId36"/>
          <w:headerReference w:type="first" r:id="rId37"/>
          <w:footerReference w:type="default" r:id="rId38"/>
          <w:footerReference w:type="first" r:id="rId39"/>
          <w:type w:val="nextPage"/>
          <w:pgSz w:w="12240" w:h="15840"/>
          <w:pgMar w:left="1440" w:right="1440" w:gutter="0" w:header="720" w:top="1440" w:footer="720" w:bottom="1440"/>
          <w:pgNumType w:fmt="decimal"/>
          <w:formProt w:val="false"/>
          <w:titlePg/>
          <w:textDirection w:val="lrTb"/>
          <w:docGrid w:type="default" w:linePitch="360" w:charSpace="0"/>
        </w:sectPr>
        <w:pStyle w:val="Normal"/>
        <w:rPr/>
      </w:pPr>
      <w:r>
        <w:rPr/>
      </w:r>
    </w:p>
    <w:p>
      <w:pPr>
        <w:pStyle w:val="CenteredHeading"/>
        <w:rPr/>
      </w:pPr>
      <w:r>
        <w:rPr/>
        <w:t>SCHEDULE 2.1(h)</w:t>
      </w:r>
    </w:p>
    <w:p>
      <w:pPr>
        <w:pStyle w:val="CenteredHeading"/>
        <w:rPr>
          <w:u w:val="none"/>
        </w:rPr>
      </w:pPr>
      <w:r>
        <w:rPr>
          <w:u w:val="none"/>
        </w:rPr>
        <w:t>CONTRACTS</w:t>
      </w:r>
    </w:p>
    <w:p>
      <w:pPr>
        <w:pStyle w:val="BodyText2"/>
        <w:rPr/>
      </w:pPr>
      <w:r>
        <w:rPr/>
        <w:t>None.</w:t>
      </w:r>
    </w:p>
    <w:p>
      <w:pPr>
        <w:sectPr>
          <w:headerReference w:type="default" r:id="rId40"/>
          <w:headerReference w:type="first" r:id="rId41"/>
          <w:footerReference w:type="default" r:id="rId42"/>
          <w:footerReference w:type="first" r:id="rId43"/>
          <w:type w:val="nextPage"/>
          <w:pgSz w:w="12240" w:h="15840"/>
          <w:pgMar w:left="1440" w:right="1440" w:gutter="0" w:header="720" w:top="1440" w:footer="720" w:bottom="1440"/>
          <w:pgNumType w:fmt="decimal"/>
          <w:formProt w:val="false"/>
          <w:titlePg/>
          <w:textDirection w:val="lrTb"/>
          <w:docGrid w:type="default" w:linePitch="360" w:charSpace="0"/>
        </w:sectPr>
        <w:pStyle w:val="Normal"/>
        <w:rPr/>
      </w:pPr>
      <w:r>
        <w:rPr/>
      </w:r>
    </w:p>
    <w:p>
      <w:pPr>
        <w:pStyle w:val="CenteredHeading"/>
        <w:rPr/>
      </w:pPr>
      <w:r>
        <w:rPr/>
        <w:t>SCHEDULE 3.11(a)</w:t>
      </w:r>
    </w:p>
    <w:p>
      <w:pPr>
        <w:pStyle w:val="CenteredHeading"/>
        <w:rPr>
          <w:u w:val="none"/>
        </w:rPr>
      </w:pPr>
      <w:r>
        <w:rPr>
          <w:u w:val="none"/>
        </w:rPr>
        <w:t>CAPITALIZATION AND VOTING RIGHTS</w:t>
      </w:r>
    </w:p>
    <w:p>
      <w:pPr>
        <w:pStyle w:val="BodyText2"/>
        <w:rPr/>
      </w:pPr>
      <w:r>
        <w:rPr/>
        <w:t>Purchaser believes that certain of the shares of Series A Preferred Stock were sold to non-accredited investors.  Purchaser is currently conducting a rescission offers in the states of Ohio, Oklahoma and Texas, whereby certain holders of Series A Preferred Stock may elect to sell their shares back to Purchaser.  As of February 13, 2001, Purchaser has outstanding rescission offers to repurchase up to 874,368 shares of Series A Preferred Stock at a purchase price per share of $0.48.  The total potential liability for Purchaser under such rescission offers, including any applicable statutory interest, as of February 13, 2001, is $418,324.99.</w:t>
      </w:r>
    </w:p>
    <w:p>
      <w:pPr>
        <w:sectPr>
          <w:headerReference w:type="default" r:id="rId44"/>
          <w:headerReference w:type="first" r:id="rId45"/>
          <w:footerReference w:type="default" r:id="rId46"/>
          <w:footerReference w:type="first" r:id="rId47"/>
          <w:type w:val="nextPage"/>
          <w:pgSz w:w="12240" w:h="15840"/>
          <w:pgMar w:left="1440" w:right="1440" w:gutter="0" w:header="720" w:top="1440" w:footer="720" w:bottom="1440"/>
          <w:pgNumType w:fmt="decimal"/>
          <w:formProt w:val="false"/>
          <w:titlePg/>
          <w:textDirection w:val="lrTb"/>
          <w:docGrid w:type="default" w:linePitch="360" w:charSpace="0"/>
        </w:sectPr>
        <w:pStyle w:val="Normal"/>
        <w:rPr/>
      </w:pPr>
      <w:r>
        <w:rPr/>
      </w:r>
    </w:p>
    <w:p>
      <w:pPr>
        <w:pStyle w:val="CenteredHeading"/>
        <w:rPr/>
      </w:pPr>
      <w:r>
        <w:rPr/>
        <w:t>SCHEDULE 4.3(a)</w:t>
      </w:r>
    </w:p>
    <w:p>
      <w:pPr>
        <w:pStyle w:val="CenteredHeading"/>
        <w:rPr>
          <w:u w:val="none"/>
        </w:rPr>
      </w:pPr>
      <w:r>
        <w:rPr>
          <w:u w:val="none"/>
        </w:rPr>
        <w:t>DELIVERABLES</w:t>
      </w:r>
    </w:p>
    <w:p>
      <w:pPr>
        <w:pStyle w:val="CenteredHeading"/>
        <w:rPr>
          <w:u w:val="none"/>
        </w:rPr>
      </w:pPr>
      <w:r>
        <w:rPr>
          <w:u w:val="none"/>
        </w:rPr>
        <w:t>PROJECT PLAN</w:t>
      </w:r>
    </w:p>
    <w:p>
      <w:pPr>
        <w:pStyle w:val="Normal"/>
        <w:jc w:val="center"/>
        <w:rPr/>
      </w:pPr>
      <w:r>
        <w:rPr/>
        <w:t>(See Attached)</w:t>
      </w:r>
    </w:p>
    <w:p>
      <w:pPr>
        <w:sectPr>
          <w:headerReference w:type="default" r:id="rId48"/>
          <w:headerReference w:type="first" r:id="rId49"/>
          <w:footerReference w:type="default" r:id="rId50"/>
          <w:footerReference w:type="first" r:id="rId51"/>
          <w:type w:val="nextPage"/>
          <w:pgSz w:w="12240" w:h="15840"/>
          <w:pgMar w:left="1440" w:right="1440" w:gutter="0" w:header="720" w:top="1440" w:footer="720" w:bottom="1440"/>
          <w:pgNumType w:fmt="decimal"/>
          <w:formProt w:val="false"/>
          <w:titlePg/>
          <w:textDirection w:val="lrTb"/>
          <w:docGrid w:type="default" w:linePitch="360" w:charSpace="0"/>
        </w:sectPr>
        <w:pStyle w:val="Normal"/>
        <w:rPr/>
      </w:pPr>
      <w:r>
        <w:rPr/>
      </w:r>
    </w:p>
    <w:p>
      <w:pPr>
        <w:pStyle w:val="CenteredHeading"/>
        <w:rPr/>
      </w:pPr>
      <w:r>
        <w:rPr/>
        <w:t>SCHEDULE 4.3(b)</w:t>
      </w:r>
    </w:p>
    <w:p>
      <w:pPr>
        <w:pStyle w:val="CenteredHeading"/>
        <w:rPr>
          <w:u w:val="none"/>
        </w:rPr>
      </w:pPr>
      <w:r>
        <w:rPr>
          <w:u w:val="none"/>
        </w:rPr>
        <w:t>DELIVERABLES</w:t>
      </w:r>
    </w:p>
    <w:p>
      <w:pPr>
        <w:pStyle w:val="center16ptbold"/>
        <w:rPr/>
      </w:pPr>
      <w:r>
        <w:rPr/>
        <w:t>Enron EDI Hub – Required Technical Documentation Standards</w:t>
      </w:r>
    </w:p>
    <w:p>
      <w:pPr>
        <w:pStyle w:val="head3italicsbold14pt"/>
        <w:ind w:start="0" w:end="720"/>
        <w:rPr>
          <w:b/>
          <w:i w:val="false"/>
          <w:i w:val="false"/>
        </w:rPr>
      </w:pPr>
      <w:r>
        <w:rPr>
          <w:b/>
          <w:i w:val="false"/>
        </w:rPr>
        <w:t xml:space="preserve">Pursuant to Section 4.3, Enron is required to develop and deliver to ECOutlook the Deliverables. The standard by which the adequacy of these Deliverables will be measured will be as follows. Such Deliverables will be in sufficient detail to allow systems operating and development personnel not involved in the day to day operations to understand the functional and technical designs to allow for efficient and effective programming enhancements, additions, modifications and troubleshooting (debugging) of the Enron EDI Hub System. Such Deliverables will also be in sufficient detail to allow such systems operating and development personnel to effectively and efficiently operate and administer the Enron EDI Hub System. The intent of these standards is to prepare such technical documentation Deliverables to a standard that would be deemed to be complete and useful by a reasonable and competent Information Technology professional. </w:t>
      </w:r>
    </w:p>
    <w:p>
      <w:pPr>
        <w:pStyle w:val="Heading6"/>
        <w:ind w:hanging="0" w:start="0"/>
        <w:rPr/>
      </w:pPr>
      <w:r>
        <w:rPr/>
        <w:t>System Documentation Project Plan</w:t>
      </w:r>
    </w:p>
    <w:p>
      <w:pPr>
        <w:pStyle w:val="BodyText2"/>
        <w:rPr/>
      </w:pPr>
      <w:r>
        <w:rPr/>
        <w:t>The System Documentation Project will include a project plan with a timeline that enumerates key deliverable milestones, specific tasks assigned to individuals, and deliverable due dates.  An individual will be identified as the project manager responsible for deliverables that include those outlined below.</w:t>
      </w:r>
    </w:p>
    <w:p>
      <w:pPr>
        <w:pStyle w:val="Heading6"/>
        <w:ind w:hanging="0" w:start="0"/>
        <w:rPr/>
      </w:pPr>
      <w:r>
        <w:rPr/>
        <w:t>Deliverables</w:t>
      </w:r>
    </w:p>
    <w:p>
      <w:pPr>
        <w:pStyle w:val="BodyText2"/>
        <w:rPr/>
      </w:pPr>
      <w:r>
        <w:rPr/>
        <w:t>The transition process must include delivery of the following documentation related to the Enron EDI Hub System:</w:t>
      </w:r>
    </w:p>
    <w:p>
      <w:pPr>
        <w:pStyle w:val="Heading7"/>
        <w:ind w:hanging="0" w:start="0"/>
        <w:rPr/>
      </w:pPr>
      <w:r>
        <w:rPr/>
        <w:t>System Functional Specifications</w:t>
      </w:r>
    </w:p>
    <w:p>
      <w:pPr>
        <w:pStyle w:val="Heading8"/>
        <w:ind w:hanging="0" w:start="0"/>
        <w:rPr/>
      </w:pPr>
      <w:r>
        <w:rPr/>
        <w:t>System Scope, comprising information regarding the following:</w:t>
      </w:r>
    </w:p>
    <w:p>
      <w:pPr>
        <w:pStyle w:val="Heading9"/>
        <w:ind w:hanging="0" w:start="0"/>
        <w:rPr/>
      </w:pPr>
      <w:r>
        <w:rPr/>
        <w:t>Purpose and Summary</w:t>
      </w:r>
    </w:p>
    <w:p>
      <w:pPr>
        <w:pStyle w:val="Heading9"/>
        <w:ind w:hanging="0" w:start="0"/>
        <w:rPr/>
      </w:pPr>
      <w:r>
        <w:rPr/>
        <w:t>Intended Benefits</w:t>
      </w:r>
    </w:p>
    <w:p>
      <w:pPr>
        <w:pStyle w:val="Heading8"/>
        <w:ind w:hanging="0" w:start="0"/>
        <w:rPr/>
      </w:pPr>
      <w:r>
        <w:rPr/>
        <w:t>System Functions, comprising information regarding the following:</w:t>
      </w:r>
    </w:p>
    <w:p>
      <w:pPr>
        <w:pStyle w:val="Heading9"/>
        <w:ind w:hanging="0" w:start="0"/>
        <w:rPr/>
      </w:pPr>
      <w:r>
        <w:rPr/>
        <w:t>Document Interchange and Translation</w:t>
      </w:r>
    </w:p>
    <w:p>
      <w:pPr>
        <w:pStyle w:val="Heading9"/>
        <w:ind w:hanging="0" w:start="0"/>
        <w:rPr/>
      </w:pPr>
      <w:r>
        <w:rPr/>
        <w:t>Integration with External Applications</w:t>
      </w:r>
    </w:p>
    <w:p>
      <w:pPr>
        <w:pStyle w:val="Heading9"/>
        <w:ind w:hanging="0" w:start="0"/>
        <w:rPr/>
      </w:pPr>
      <w:r>
        <w:rPr/>
        <w:t>Management Reporting</w:t>
      </w:r>
    </w:p>
    <w:p>
      <w:pPr>
        <w:pStyle w:val="Heading8"/>
        <w:ind w:hanging="0" w:start="0"/>
        <w:rPr/>
      </w:pPr>
      <w:r>
        <w:rPr/>
        <w:t>Customer Classes and Characteristics, comprising information regarding the following:</w:t>
      </w:r>
    </w:p>
    <w:p>
      <w:pPr>
        <w:pStyle w:val="Heading9"/>
        <w:ind w:hanging="0" w:start="0"/>
        <w:rPr/>
      </w:pPr>
      <w:r>
        <w:rPr/>
        <w:t>Trading Hubs and Documents Processed</w:t>
      </w:r>
    </w:p>
    <w:p>
      <w:pPr>
        <w:pStyle w:val="Heading9"/>
        <w:ind w:hanging="0" w:start="0"/>
        <w:rPr/>
      </w:pPr>
      <w:r>
        <w:rPr/>
        <w:t>Trading Partners and Documents Processed</w:t>
      </w:r>
    </w:p>
    <w:p>
      <w:pPr>
        <w:pStyle w:val="Heading9"/>
        <w:ind w:hanging="0" w:start="0"/>
        <w:rPr/>
      </w:pPr>
      <w:r>
        <w:rPr/>
        <w:t>Management of Hubs and Partners</w:t>
      </w:r>
    </w:p>
    <w:p>
      <w:pPr>
        <w:pStyle w:val="Heading9"/>
        <w:ind w:hanging="0" w:start="0"/>
        <w:rPr/>
      </w:pPr>
      <w:r>
        <w:rPr/>
        <w:t>System Administrators</w:t>
      </w:r>
    </w:p>
    <w:p>
      <w:pPr>
        <w:pStyle w:val="Heading8"/>
        <w:ind w:hanging="0" w:start="0"/>
        <w:rPr/>
      </w:pPr>
      <w:r>
        <w:rPr/>
        <w:t>Performance Requirements</w:t>
      </w:r>
    </w:p>
    <w:p>
      <w:pPr>
        <w:pStyle w:val="Heading8"/>
        <w:ind w:hanging="0" w:start="0"/>
        <w:rPr/>
      </w:pPr>
      <w:r>
        <w:rPr/>
        <w:t>Regulatory Requirements</w:t>
      </w:r>
    </w:p>
    <w:p>
      <w:pPr>
        <w:pStyle w:val="Heading8"/>
        <w:ind w:hanging="0" w:start="0"/>
        <w:rPr/>
      </w:pPr>
      <w:r>
        <w:rPr/>
        <w:t>Security Requirements</w:t>
      </w:r>
    </w:p>
    <w:p>
      <w:pPr>
        <w:pStyle w:val="Heading8"/>
        <w:ind w:hanging="0" w:start="0"/>
        <w:rPr/>
      </w:pPr>
      <w:r>
        <w:rPr/>
        <w:t>Service Level Requirements</w:t>
      </w:r>
    </w:p>
    <w:p>
      <w:pPr>
        <w:pStyle w:val="Heading7"/>
        <w:ind w:hanging="0" w:start="0"/>
        <w:rPr/>
      </w:pPr>
      <w:r>
        <w:rPr/>
        <w:t>Technical Specifications</w:t>
      </w:r>
    </w:p>
    <w:p>
      <w:pPr>
        <w:pStyle w:val="Heading8"/>
        <w:ind w:hanging="0" w:start="0"/>
        <w:rPr/>
      </w:pPr>
      <w:r>
        <w:rPr/>
        <w:t>Architecture Diagram</w:t>
      </w:r>
    </w:p>
    <w:p>
      <w:pPr>
        <w:pStyle w:val="BodyText2"/>
        <w:rPr/>
      </w:pPr>
      <w:r>
        <w:rPr/>
        <w:t>The Architecture Diagram defines boundaries and interfaces between applications; it organizes major software components into tiers that include the operating systems, file systems and communications subsystems; it shows protocols and components used for internal and external data interchange; and it specifies which components use the database systems and defines the access methods employed.</w:t>
      </w:r>
    </w:p>
    <w:p>
      <w:pPr>
        <w:pStyle w:val="Heading8"/>
        <w:ind w:hanging="0" w:start="0"/>
        <w:rPr/>
      </w:pPr>
      <w:r>
        <w:rPr/>
        <w:t>Document Processing Flows regarding at least the following:</w:t>
      </w:r>
    </w:p>
    <w:p>
      <w:pPr>
        <w:pStyle w:val="Heading9"/>
        <w:spacing w:before="0" w:after="0"/>
        <w:ind w:hanging="0" w:start="0"/>
        <w:rPr/>
      </w:pPr>
      <w:r>
        <w:rPr/>
        <w:t>Trading Hubs</w:t>
      </w:r>
    </w:p>
    <w:tbl>
      <w:tblPr>
        <w:tblW w:w="6394" w:type="dxa"/>
        <w:jc w:val="center"/>
        <w:tblInd w:w="0" w:type="dxa"/>
        <w:tblLayout w:type="fixed"/>
        <w:tblCellMar>
          <w:top w:w="0" w:type="dxa"/>
          <w:start w:w="30" w:type="dxa"/>
          <w:bottom w:w="0" w:type="dxa"/>
          <w:end w:w="30" w:type="dxa"/>
        </w:tblCellMar>
      </w:tblPr>
      <w:tblGrid>
        <w:gridCol w:w="5440"/>
        <w:gridCol w:w="954"/>
      </w:tblGrid>
      <w:tr>
        <w:trPr/>
        <w:tc>
          <w:tcPr>
            <w:tcW w:w="5440" w:type="dxa"/>
            <w:tcBorders>
              <w:top w:val="single" w:sz="6" w:space="0" w:color="000000"/>
              <w:bottom w:val="single" w:sz="6" w:space="0" w:color="000000"/>
            </w:tcBorders>
          </w:tcPr>
          <w:p>
            <w:pPr>
              <w:pStyle w:val="Normal"/>
              <w:rPr/>
            </w:pPr>
            <w:r>
              <w:rPr/>
              <w:t>Enron Trading Hub</w:t>
            </w:r>
          </w:p>
        </w:tc>
        <w:tc>
          <w:tcPr>
            <w:tcW w:w="954" w:type="dxa"/>
            <w:tcBorders>
              <w:top w:val="single" w:sz="6" w:space="0" w:color="000000"/>
              <w:bottom w:val="single" w:sz="6" w:space="0" w:color="000000"/>
            </w:tcBorders>
          </w:tcPr>
          <w:p>
            <w:pPr>
              <w:pStyle w:val="Normal"/>
              <w:rPr/>
            </w:pPr>
            <w:r>
              <w:rPr/>
              <w:t>Industry</w:t>
            </w:r>
          </w:p>
        </w:tc>
      </w:tr>
      <w:tr>
        <w:trPr/>
        <w:tc>
          <w:tcPr>
            <w:tcW w:w="5440" w:type="dxa"/>
            <w:tcBorders/>
          </w:tcPr>
          <w:p>
            <w:pPr>
              <w:pStyle w:val="Normal"/>
              <w:rPr/>
            </w:pPr>
            <w:r>
              <w:rPr/>
              <w:t>Enron Capital and Trade Resources</w:t>
            </w:r>
          </w:p>
        </w:tc>
        <w:tc>
          <w:tcPr>
            <w:tcW w:w="954" w:type="dxa"/>
            <w:tcBorders/>
          </w:tcPr>
          <w:p>
            <w:pPr>
              <w:pStyle w:val="Normal"/>
              <w:rPr/>
            </w:pPr>
            <w:r>
              <w:rPr/>
              <w:t>Gas</w:t>
            </w:r>
          </w:p>
        </w:tc>
      </w:tr>
      <w:tr>
        <w:trPr/>
        <w:tc>
          <w:tcPr>
            <w:tcW w:w="5440" w:type="dxa"/>
            <w:tcBorders/>
          </w:tcPr>
          <w:p>
            <w:pPr>
              <w:pStyle w:val="Normal"/>
              <w:rPr/>
            </w:pPr>
            <w:r>
              <w:rPr/>
              <w:t>Florida Gas Transmission</w:t>
            </w:r>
          </w:p>
        </w:tc>
        <w:tc>
          <w:tcPr>
            <w:tcW w:w="954" w:type="dxa"/>
            <w:tcBorders/>
          </w:tcPr>
          <w:p>
            <w:pPr>
              <w:pStyle w:val="Normal"/>
              <w:rPr/>
            </w:pPr>
            <w:r>
              <w:rPr/>
              <w:t>Gas</w:t>
            </w:r>
          </w:p>
        </w:tc>
      </w:tr>
      <w:tr>
        <w:trPr/>
        <w:tc>
          <w:tcPr>
            <w:tcW w:w="5440" w:type="dxa"/>
            <w:tcBorders/>
          </w:tcPr>
          <w:p>
            <w:pPr>
              <w:pStyle w:val="Normal"/>
              <w:rPr/>
            </w:pPr>
            <w:r>
              <w:rPr/>
              <w:t>Northern Border Pipeline</w:t>
            </w:r>
          </w:p>
        </w:tc>
        <w:tc>
          <w:tcPr>
            <w:tcW w:w="954" w:type="dxa"/>
            <w:tcBorders/>
          </w:tcPr>
          <w:p>
            <w:pPr>
              <w:pStyle w:val="Normal"/>
              <w:rPr/>
            </w:pPr>
            <w:r>
              <w:rPr/>
              <w:t>Gas</w:t>
            </w:r>
          </w:p>
        </w:tc>
      </w:tr>
      <w:tr>
        <w:trPr/>
        <w:tc>
          <w:tcPr>
            <w:tcW w:w="5440" w:type="dxa"/>
            <w:tcBorders/>
          </w:tcPr>
          <w:p>
            <w:pPr>
              <w:pStyle w:val="Normal"/>
              <w:rPr/>
            </w:pPr>
            <w:r>
              <w:rPr/>
              <w:t>Northern Natural Gas</w:t>
            </w:r>
          </w:p>
        </w:tc>
        <w:tc>
          <w:tcPr>
            <w:tcW w:w="954" w:type="dxa"/>
            <w:tcBorders/>
          </w:tcPr>
          <w:p>
            <w:pPr>
              <w:pStyle w:val="Normal"/>
              <w:rPr/>
            </w:pPr>
            <w:r>
              <w:rPr/>
              <w:t>Gas</w:t>
            </w:r>
          </w:p>
        </w:tc>
      </w:tr>
      <w:tr>
        <w:trPr/>
        <w:tc>
          <w:tcPr>
            <w:tcW w:w="5440" w:type="dxa"/>
            <w:tcBorders/>
          </w:tcPr>
          <w:p>
            <w:pPr>
              <w:pStyle w:val="Normal"/>
              <w:rPr/>
            </w:pPr>
            <w:r>
              <w:rPr/>
              <w:t>TransWestern Pipeline</w:t>
            </w:r>
          </w:p>
        </w:tc>
        <w:tc>
          <w:tcPr>
            <w:tcW w:w="954" w:type="dxa"/>
            <w:tcBorders/>
          </w:tcPr>
          <w:p>
            <w:pPr>
              <w:pStyle w:val="Normal"/>
              <w:rPr/>
            </w:pPr>
            <w:r>
              <w:rPr/>
              <w:t>Gas</w:t>
            </w:r>
          </w:p>
        </w:tc>
      </w:tr>
      <w:tr>
        <w:trPr>
          <w:trHeight w:val="120" w:hRule="exact"/>
        </w:trPr>
        <w:tc>
          <w:tcPr>
            <w:tcW w:w="5440" w:type="dxa"/>
            <w:tcBorders/>
            <w:shd w:fill="DFDFDF" w:val="clear"/>
          </w:tcPr>
          <w:p>
            <w:pPr>
              <w:pStyle w:val="Normal"/>
              <w:snapToGrid w:val="false"/>
              <w:rPr/>
            </w:pPr>
            <w:r>
              <w:rPr/>
            </w:r>
          </w:p>
        </w:tc>
        <w:tc>
          <w:tcPr>
            <w:tcW w:w="954" w:type="dxa"/>
            <w:tcBorders/>
            <w:shd w:fill="DFDFDF" w:val="clear"/>
          </w:tcPr>
          <w:p>
            <w:pPr>
              <w:pStyle w:val="Normal"/>
              <w:snapToGrid w:val="false"/>
              <w:rPr/>
            </w:pPr>
            <w:r>
              <w:rPr/>
            </w:r>
          </w:p>
        </w:tc>
      </w:tr>
      <w:tr>
        <w:trPr/>
        <w:tc>
          <w:tcPr>
            <w:tcW w:w="5440" w:type="dxa"/>
            <w:tcBorders/>
          </w:tcPr>
          <w:p>
            <w:pPr>
              <w:pStyle w:val="Normal"/>
              <w:rPr/>
            </w:pPr>
            <w:r>
              <w:rPr/>
              <w:t>Enron Energy Services - Houston</w:t>
            </w:r>
          </w:p>
        </w:tc>
        <w:tc>
          <w:tcPr>
            <w:tcW w:w="954" w:type="dxa"/>
            <w:tcBorders/>
          </w:tcPr>
          <w:p>
            <w:pPr>
              <w:pStyle w:val="Normal"/>
              <w:rPr/>
            </w:pPr>
            <w:r>
              <w:rPr/>
              <w:t>Electric</w:t>
            </w:r>
          </w:p>
        </w:tc>
      </w:tr>
      <w:tr>
        <w:trPr/>
        <w:tc>
          <w:tcPr>
            <w:tcW w:w="5440" w:type="dxa"/>
            <w:tcBorders/>
          </w:tcPr>
          <w:p>
            <w:pPr>
              <w:pStyle w:val="Normal"/>
              <w:rPr/>
            </w:pPr>
            <w:r>
              <w:rPr/>
              <w:t>Enron Energy Services - CSC Agreement, Dublin, Ohio</w:t>
            </w:r>
          </w:p>
        </w:tc>
        <w:tc>
          <w:tcPr>
            <w:tcW w:w="954" w:type="dxa"/>
            <w:tcBorders/>
          </w:tcPr>
          <w:p>
            <w:pPr>
              <w:pStyle w:val="Normal"/>
              <w:rPr/>
            </w:pPr>
            <w:r>
              <w:rPr/>
              <w:t>Electric</w:t>
            </w:r>
          </w:p>
        </w:tc>
      </w:tr>
      <w:tr>
        <w:trPr/>
        <w:tc>
          <w:tcPr>
            <w:tcW w:w="5440" w:type="dxa"/>
            <w:tcBorders/>
          </w:tcPr>
          <w:p>
            <w:pPr>
              <w:pStyle w:val="Normal"/>
              <w:rPr/>
            </w:pPr>
            <w:r>
              <w:rPr/>
              <w:t>Enron Power Marketing - California</w:t>
            </w:r>
          </w:p>
        </w:tc>
        <w:tc>
          <w:tcPr>
            <w:tcW w:w="954" w:type="dxa"/>
            <w:tcBorders/>
          </w:tcPr>
          <w:p>
            <w:pPr>
              <w:pStyle w:val="Normal"/>
              <w:rPr/>
            </w:pPr>
            <w:r>
              <w:rPr/>
              <w:t>Electric</w:t>
            </w:r>
          </w:p>
        </w:tc>
      </w:tr>
      <w:tr>
        <w:trPr/>
        <w:tc>
          <w:tcPr>
            <w:tcW w:w="5440" w:type="dxa"/>
            <w:tcBorders/>
          </w:tcPr>
          <w:p>
            <w:pPr>
              <w:pStyle w:val="Normal"/>
              <w:rPr/>
            </w:pPr>
            <w:r>
              <w:rPr/>
              <w:t>Portland General Electric</w:t>
            </w:r>
          </w:p>
        </w:tc>
        <w:tc>
          <w:tcPr>
            <w:tcW w:w="954" w:type="dxa"/>
            <w:tcBorders/>
          </w:tcPr>
          <w:p>
            <w:pPr>
              <w:pStyle w:val="Normal"/>
              <w:rPr/>
            </w:pPr>
            <w:r>
              <w:rPr/>
              <w:t>Electric</w:t>
            </w:r>
          </w:p>
        </w:tc>
      </w:tr>
      <w:tr>
        <w:trPr>
          <w:trHeight w:val="120" w:hRule="exact"/>
        </w:trPr>
        <w:tc>
          <w:tcPr>
            <w:tcW w:w="5440" w:type="dxa"/>
            <w:tcBorders/>
            <w:shd w:fill="DFDFDF" w:val="clear"/>
          </w:tcPr>
          <w:p>
            <w:pPr>
              <w:pStyle w:val="Normal"/>
              <w:snapToGrid w:val="false"/>
              <w:rPr/>
            </w:pPr>
            <w:r>
              <w:rPr/>
            </w:r>
          </w:p>
        </w:tc>
        <w:tc>
          <w:tcPr>
            <w:tcW w:w="954" w:type="dxa"/>
            <w:tcBorders/>
            <w:shd w:fill="DFDFDF" w:val="clear"/>
          </w:tcPr>
          <w:p>
            <w:pPr>
              <w:pStyle w:val="Normal"/>
              <w:snapToGrid w:val="false"/>
              <w:rPr/>
            </w:pPr>
            <w:r>
              <w:rPr/>
            </w:r>
          </w:p>
        </w:tc>
      </w:tr>
      <w:tr>
        <w:trPr/>
        <w:tc>
          <w:tcPr>
            <w:tcW w:w="5440" w:type="dxa"/>
            <w:tcBorders/>
          </w:tcPr>
          <w:p>
            <w:pPr>
              <w:pStyle w:val="Normal"/>
              <w:rPr/>
            </w:pPr>
            <w:r>
              <w:rPr/>
              <w:t>Bentley</w:t>
            </w:r>
          </w:p>
        </w:tc>
        <w:tc>
          <w:tcPr>
            <w:tcW w:w="954" w:type="dxa"/>
            <w:tcBorders/>
          </w:tcPr>
          <w:p>
            <w:pPr>
              <w:pStyle w:val="Normal"/>
              <w:rPr/>
            </w:pPr>
            <w:r>
              <w:rPr/>
              <w:t>Financial</w:t>
            </w:r>
          </w:p>
        </w:tc>
      </w:tr>
      <w:tr>
        <w:trPr/>
        <w:tc>
          <w:tcPr>
            <w:tcW w:w="5440" w:type="dxa"/>
            <w:tcBorders/>
          </w:tcPr>
          <w:p>
            <w:pPr>
              <w:pStyle w:val="Normal"/>
              <w:rPr/>
            </w:pPr>
            <w:r>
              <w:rPr/>
              <w:t>Enron Corp – HR</w:t>
            </w:r>
          </w:p>
        </w:tc>
        <w:tc>
          <w:tcPr>
            <w:tcW w:w="954" w:type="dxa"/>
            <w:tcBorders/>
          </w:tcPr>
          <w:p>
            <w:pPr>
              <w:pStyle w:val="Normal"/>
              <w:rPr/>
            </w:pPr>
            <w:r>
              <w:rPr/>
              <w:t>Financial</w:t>
            </w:r>
          </w:p>
        </w:tc>
      </w:tr>
      <w:tr>
        <w:trPr/>
        <w:tc>
          <w:tcPr>
            <w:tcW w:w="5440" w:type="dxa"/>
            <w:tcBorders/>
          </w:tcPr>
          <w:p>
            <w:pPr>
              <w:pStyle w:val="Normal"/>
              <w:rPr/>
            </w:pPr>
            <w:r>
              <w:rPr/>
              <w:t>Enron Corp - SAP HR</w:t>
            </w:r>
          </w:p>
        </w:tc>
        <w:tc>
          <w:tcPr>
            <w:tcW w:w="954" w:type="dxa"/>
            <w:tcBorders/>
          </w:tcPr>
          <w:p>
            <w:pPr>
              <w:pStyle w:val="Normal"/>
              <w:rPr/>
            </w:pPr>
            <w:r>
              <w:rPr/>
              <w:t>Financial</w:t>
            </w:r>
          </w:p>
        </w:tc>
      </w:tr>
      <w:tr>
        <w:trPr/>
        <w:tc>
          <w:tcPr>
            <w:tcW w:w="5440" w:type="dxa"/>
            <w:tcBorders/>
          </w:tcPr>
          <w:p>
            <w:pPr>
              <w:pStyle w:val="Normal"/>
              <w:rPr/>
            </w:pPr>
            <w:r>
              <w:rPr/>
              <w:t>Enron Corp - SAP Acctg</w:t>
            </w:r>
          </w:p>
        </w:tc>
        <w:tc>
          <w:tcPr>
            <w:tcW w:w="954" w:type="dxa"/>
            <w:tcBorders/>
          </w:tcPr>
          <w:p>
            <w:pPr>
              <w:pStyle w:val="Normal"/>
              <w:rPr/>
            </w:pPr>
            <w:r>
              <w:rPr/>
              <w:t>Financial</w:t>
            </w:r>
          </w:p>
        </w:tc>
      </w:tr>
      <w:tr>
        <w:trPr/>
        <w:tc>
          <w:tcPr>
            <w:tcW w:w="5440" w:type="dxa"/>
            <w:tcBorders/>
          </w:tcPr>
          <w:p>
            <w:pPr>
              <w:pStyle w:val="Normal"/>
              <w:rPr/>
            </w:pPr>
            <w:r>
              <w:rPr/>
              <w:t>Enron International</w:t>
            </w:r>
          </w:p>
        </w:tc>
        <w:tc>
          <w:tcPr>
            <w:tcW w:w="954" w:type="dxa"/>
            <w:tcBorders/>
          </w:tcPr>
          <w:p>
            <w:pPr>
              <w:pStyle w:val="Normal"/>
              <w:rPr/>
            </w:pPr>
            <w:r>
              <w:rPr/>
              <w:t>Financial</w:t>
            </w:r>
          </w:p>
        </w:tc>
      </w:tr>
      <w:tr>
        <w:trPr/>
        <w:tc>
          <w:tcPr>
            <w:tcW w:w="5440" w:type="dxa"/>
            <w:tcBorders/>
          </w:tcPr>
          <w:p>
            <w:pPr>
              <w:pStyle w:val="Normal"/>
              <w:rPr/>
            </w:pPr>
            <w:r>
              <w:rPr/>
              <w:t>Enron Treasury</w:t>
            </w:r>
          </w:p>
        </w:tc>
        <w:tc>
          <w:tcPr>
            <w:tcW w:w="954" w:type="dxa"/>
            <w:tcBorders/>
          </w:tcPr>
          <w:p>
            <w:pPr>
              <w:pStyle w:val="Normal"/>
              <w:rPr/>
            </w:pPr>
            <w:r>
              <w:rPr/>
              <w:t>Financial</w:t>
            </w:r>
          </w:p>
        </w:tc>
      </w:tr>
      <w:tr>
        <w:trPr/>
        <w:tc>
          <w:tcPr>
            <w:tcW w:w="5440" w:type="dxa"/>
            <w:tcBorders/>
          </w:tcPr>
          <w:p>
            <w:pPr>
              <w:pStyle w:val="Normal"/>
              <w:rPr/>
            </w:pPr>
            <w:r>
              <w:rPr/>
              <w:t>Enron Corp. - Inbound Invoices</w:t>
            </w:r>
          </w:p>
        </w:tc>
        <w:tc>
          <w:tcPr>
            <w:tcW w:w="954" w:type="dxa"/>
            <w:tcBorders/>
          </w:tcPr>
          <w:p>
            <w:pPr>
              <w:pStyle w:val="Normal"/>
              <w:rPr/>
            </w:pPr>
            <w:r>
              <w:rPr/>
              <w:t>Financial</w:t>
            </w:r>
          </w:p>
        </w:tc>
      </w:tr>
      <w:tr>
        <w:trPr/>
        <w:tc>
          <w:tcPr>
            <w:tcW w:w="5440" w:type="dxa"/>
            <w:tcBorders/>
          </w:tcPr>
          <w:p>
            <w:pPr>
              <w:pStyle w:val="Normal"/>
              <w:rPr/>
            </w:pPr>
            <w:r>
              <w:rPr/>
              <w:t>Enron Energy Services - Inbound Invoices</w:t>
            </w:r>
          </w:p>
          <w:p>
            <w:pPr>
              <w:pStyle w:val="Normal"/>
              <w:rPr/>
            </w:pPr>
            <w:r>
              <w:rPr/>
            </w:r>
          </w:p>
        </w:tc>
        <w:tc>
          <w:tcPr>
            <w:tcW w:w="954" w:type="dxa"/>
            <w:tcBorders/>
          </w:tcPr>
          <w:p>
            <w:pPr>
              <w:pStyle w:val="Normal"/>
              <w:rPr/>
            </w:pPr>
            <w:r>
              <w:rPr/>
              <w:t>Financial</w:t>
            </w:r>
          </w:p>
        </w:tc>
      </w:tr>
    </w:tbl>
    <w:p>
      <w:pPr>
        <w:pStyle w:val="BodyText"/>
        <w:rPr/>
      </w:pPr>
      <w:r>
        <w:rPr/>
        <w:t xml:space="preserve">1)   </w:t>
      </w:r>
      <w:r>
        <w:rPr>
          <w:rFonts w:cs="Arial" w:ascii="Arial" w:hAnsi="Arial"/>
        </w:rPr>
        <w:t>Classes of Trading Partners</w:t>
      </w:r>
    </w:p>
    <w:p>
      <w:pPr>
        <w:pStyle w:val="BodyTextIndent2"/>
        <w:rPr/>
      </w:pPr>
      <w:r>
        <w:rPr/>
        <w:t>For each Trading Hub, organize Trading Partners into classes by document types exchanged, service requirements and interfaces used.</w:t>
      </w:r>
    </w:p>
    <w:p>
      <w:pPr>
        <w:pStyle w:val="Heading9"/>
        <w:numPr>
          <w:ilvl w:val="8"/>
          <w:numId w:val="22"/>
        </w:numPr>
        <w:ind w:hanging="0" w:start="0"/>
        <w:rPr/>
      </w:pPr>
      <w:r>
        <w:rPr/>
        <w:t>Documents Exchanged</w:t>
      </w:r>
    </w:p>
    <w:p>
      <w:pPr>
        <w:pStyle w:val="Heading9"/>
        <w:ind w:hanging="0" w:start="0"/>
        <w:rPr/>
      </w:pPr>
      <w:r>
        <w:rPr/>
        <w:t>Service Requirements</w:t>
      </w:r>
    </w:p>
    <w:p>
      <w:pPr>
        <w:pStyle w:val="Heading9"/>
        <w:ind w:hanging="0" w:start="0"/>
        <w:rPr/>
      </w:pPr>
      <w:r>
        <w:rPr/>
        <w:t>External Application Interfaces</w:t>
      </w:r>
    </w:p>
    <w:p>
      <w:pPr>
        <w:pStyle w:val="Heading8"/>
        <w:ind w:hanging="0" w:start="0"/>
        <w:rPr/>
      </w:pPr>
      <w:r>
        <w:rPr/>
        <w:t>Document Types</w:t>
      </w:r>
    </w:p>
    <w:p>
      <w:pPr>
        <w:pStyle w:val="BodyText2"/>
        <w:rPr/>
      </w:pPr>
      <w:r>
        <w:rPr/>
        <w:t>Organize document types by Trading Hub and Class of Trading Partner.  For each document type specify the following:</w:t>
      </w:r>
    </w:p>
    <w:p>
      <w:pPr>
        <w:pStyle w:val="Heading9"/>
        <w:ind w:hanging="0" w:start="0"/>
        <w:rPr/>
      </w:pPr>
      <w:r>
        <w:rPr/>
        <w:t>Purpose</w:t>
      </w:r>
    </w:p>
    <w:p>
      <w:pPr>
        <w:pStyle w:val="Heading9"/>
        <w:ind w:hanging="0" w:start="0"/>
        <w:rPr/>
      </w:pPr>
      <w:r>
        <w:rPr/>
        <w:t>Source or Destination</w:t>
      </w:r>
    </w:p>
    <w:p>
      <w:pPr>
        <w:pStyle w:val="Heading9"/>
        <w:ind w:hanging="0" w:start="0"/>
        <w:rPr/>
      </w:pPr>
      <w:r>
        <w:rPr/>
        <w:t>Delivery Mechanism</w:t>
      </w:r>
    </w:p>
    <w:p>
      <w:pPr>
        <w:pStyle w:val="Heading9"/>
        <w:ind w:hanging="0" w:start="0"/>
        <w:rPr/>
      </w:pPr>
      <w:r>
        <w:rPr/>
        <w:t>Data Structure</w:t>
      </w:r>
    </w:p>
    <w:p>
      <w:pPr>
        <w:pStyle w:val="Heading9"/>
        <w:ind w:hanging="0" w:start="0"/>
        <w:rPr/>
      </w:pPr>
      <w:r>
        <w:rPr/>
        <w:t>Data Validation</w:t>
      </w:r>
    </w:p>
    <w:p>
      <w:pPr>
        <w:pStyle w:val="Heading9"/>
        <w:ind w:hanging="0" w:start="0"/>
        <w:rPr/>
      </w:pPr>
      <w:r>
        <w:rPr/>
        <w:t>Business Rules</w:t>
      </w:r>
    </w:p>
    <w:p>
      <w:pPr>
        <w:pStyle w:val="Heading9"/>
        <w:ind w:hanging="0" w:start="0"/>
        <w:rPr/>
      </w:pPr>
      <w:r>
        <w:rPr/>
        <w:t>Required Data Transformations</w:t>
      </w:r>
    </w:p>
    <w:p>
      <w:pPr>
        <w:pStyle w:val="Heading8"/>
        <w:ind w:hanging="0" w:start="0"/>
        <w:rPr/>
      </w:pPr>
      <w:r>
        <w:rPr/>
        <w:t>Requisite Software</w:t>
      </w:r>
    </w:p>
    <w:p>
      <w:pPr>
        <w:pStyle w:val="BodyText2"/>
        <w:rPr/>
      </w:pPr>
      <w:r>
        <w:rPr/>
        <w:t>Identify the discrete software systems required for fulfillment of the Functional Specifications listed above.  Describe their primary purpose.</w:t>
      </w:r>
    </w:p>
    <w:p>
      <w:pPr>
        <w:pStyle w:val="Heading9"/>
        <w:ind w:hanging="0" w:start="0"/>
        <w:rPr/>
      </w:pPr>
      <w:r>
        <w:rPr/>
        <w:t>Operating Systems</w:t>
      </w:r>
    </w:p>
    <w:p>
      <w:pPr>
        <w:pStyle w:val="BodyText2"/>
        <w:rPr/>
      </w:pPr>
      <w:r>
        <w:rPr/>
        <w:t>AIX, Solaris, Windows 2000,  Windows NT</w:t>
      </w:r>
    </w:p>
    <w:p>
      <w:pPr>
        <w:pStyle w:val="Heading9"/>
        <w:ind w:hanging="0" w:start="0"/>
        <w:rPr/>
      </w:pPr>
      <w:r>
        <w:rPr/>
        <w:t>Commercial Off-the-shelf (COTS) Software</w:t>
      </w:r>
    </w:p>
    <w:p>
      <w:pPr>
        <w:pStyle w:val="BodyText2"/>
        <w:rPr/>
      </w:pPr>
      <w:r>
        <w:rPr/>
        <w:t>Oracle, Gentran, RMS, Hummingbird, Microsoft Access</w:t>
      </w:r>
    </w:p>
    <w:p>
      <w:pPr>
        <w:pStyle w:val="Heading9"/>
        <w:ind w:hanging="0" w:start="0"/>
        <w:rPr/>
      </w:pPr>
      <w:r>
        <w:rPr/>
        <w:t>Custom Developed Components</w:t>
      </w:r>
    </w:p>
    <w:p>
      <w:pPr>
        <w:pStyle w:val="BodyText2"/>
        <w:rPr/>
      </w:pPr>
      <w:r>
        <w:rPr/>
        <w:t>EDI Comm, EDI Ops</w:t>
      </w:r>
    </w:p>
    <w:p>
      <w:pPr>
        <w:pStyle w:val="Heading8"/>
        <w:ind w:hanging="0" w:start="0"/>
        <w:rPr/>
      </w:pPr>
      <w:r>
        <w:rPr/>
        <w:t>Functional Components</w:t>
      </w:r>
    </w:p>
    <w:p>
      <w:pPr>
        <w:pStyle w:val="Heading9"/>
        <w:ind w:hanging="0" w:start="0"/>
        <w:rPr/>
      </w:pPr>
      <w:r>
        <w:rPr/>
        <w:t>Description of Features</w:t>
      </w:r>
    </w:p>
    <w:p>
      <w:pPr>
        <w:pStyle w:val="Heading9"/>
        <w:ind w:hanging="0" w:start="0"/>
        <w:rPr/>
      </w:pPr>
      <w:r>
        <w:rPr/>
        <w:t>Input-Process-Output Diagram</w:t>
      </w:r>
    </w:p>
    <w:p>
      <w:pPr>
        <w:pStyle w:val="BodyText2"/>
        <w:rPr/>
      </w:pPr>
      <w:r>
        <w:rPr/>
        <w:t>Organize software components into connecting modules.  Show inputs and outputs for each module.  Describe how data is processed in each module.</w:t>
      </w:r>
    </w:p>
    <w:p>
      <w:pPr>
        <w:pStyle w:val="ListBullet2"/>
        <w:numPr>
          <w:ilvl w:val="0"/>
          <w:numId w:val="18"/>
        </w:numPr>
        <w:ind w:hanging="0" w:start="0"/>
        <w:rPr/>
      </w:pPr>
      <w:r>
        <w:rPr/>
        <w:t>Inputs</w:t>
      </w:r>
    </w:p>
    <w:p>
      <w:pPr>
        <w:pStyle w:val="BodyText2"/>
        <w:rPr/>
      </w:pPr>
      <w:r>
        <w:rPr/>
        <w:t>Specify input data, files and parameters including their source and event triggers.</w:t>
      </w:r>
    </w:p>
    <w:p>
      <w:pPr>
        <w:pStyle w:val="ListBullet2"/>
        <w:numPr>
          <w:ilvl w:val="0"/>
          <w:numId w:val="18"/>
        </w:numPr>
        <w:ind w:hanging="0" w:start="0"/>
        <w:rPr/>
      </w:pPr>
      <w:r>
        <w:rPr/>
        <w:t>Process Description</w:t>
      </w:r>
    </w:p>
    <w:p>
      <w:pPr>
        <w:pStyle w:val="BodyText2"/>
        <w:rPr/>
      </w:pPr>
      <w:r>
        <w:rPr/>
        <w:t>Specify data processing routines performed to all inputs to create outputs</w:t>
      </w:r>
    </w:p>
    <w:p>
      <w:pPr>
        <w:pStyle w:val="ListBullet2"/>
        <w:numPr>
          <w:ilvl w:val="0"/>
          <w:numId w:val="18"/>
        </w:numPr>
        <w:ind w:hanging="0" w:start="0"/>
        <w:rPr/>
      </w:pPr>
      <w:r>
        <w:rPr/>
        <w:t>Outputs</w:t>
      </w:r>
    </w:p>
    <w:p>
      <w:pPr>
        <w:pStyle w:val="BodyText2"/>
        <w:rPr/>
      </w:pPr>
      <w:r>
        <w:rPr/>
        <w:t>Specify output data, files and parameters, including their destination.</w:t>
      </w:r>
    </w:p>
    <w:p>
      <w:pPr>
        <w:pStyle w:val="Heading9"/>
        <w:ind w:hanging="0" w:start="0"/>
        <w:rPr/>
      </w:pPr>
      <w:r>
        <w:rPr/>
        <w:t>Entity-Relationship Diagrams</w:t>
      </w:r>
    </w:p>
    <w:p>
      <w:pPr>
        <w:pStyle w:val="BodyText2"/>
        <w:rPr/>
      </w:pPr>
      <w:r>
        <w:rPr/>
        <w:t>Diagram the relationships between database tables.  Indicate primary and foreign keys.  Annotate where referential integrity is enforced and indicate the method used.</w:t>
      </w:r>
    </w:p>
    <w:p>
      <w:pPr>
        <w:pStyle w:val="Heading9"/>
        <w:ind w:hanging="0" w:start="0"/>
        <w:rPr/>
      </w:pPr>
      <w:r>
        <w:rPr/>
        <w:t>Data Dictionary</w:t>
      </w:r>
    </w:p>
    <w:p>
      <w:pPr>
        <w:pStyle w:val="Normal"/>
        <w:rPr/>
      </w:pPr>
      <w:r>
        <w:rPr/>
        <w:t>For each data element the data dictionary will contain:</w:t>
      </w:r>
    </w:p>
    <w:p>
      <w:pPr>
        <w:pStyle w:val="Normal"/>
        <w:rPr/>
      </w:pPr>
      <w:r>
        <w:rPr/>
        <w:t>Element name</w:t>
      </w:r>
    </w:p>
    <w:p>
      <w:pPr>
        <w:pStyle w:val="Normal"/>
        <w:rPr/>
      </w:pPr>
      <w:r>
        <w:rPr/>
        <w:t>Purpose</w:t>
      </w:r>
    </w:p>
    <w:p>
      <w:pPr>
        <w:pStyle w:val="Normal"/>
        <w:rPr/>
      </w:pPr>
      <w:r>
        <w:rPr/>
        <w:t>Data Type</w:t>
      </w:r>
    </w:p>
    <w:p>
      <w:pPr>
        <w:pStyle w:val="Normal"/>
        <w:rPr/>
      </w:pPr>
      <w:r>
        <w:rPr/>
        <w:t>Size</w:t>
      </w:r>
    </w:p>
    <w:p>
      <w:pPr>
        <w:pStyle w:val="Normal"/>
        <w:rPr/>
      </w:pPr>
      <w:r>
        <w:rPr/>
        <w:t>Range of values</w:t>
      </w:r>
    </w:p>
    <w:p>
      <w:pPr>
        <w:pStyle w:val="Normal"/>
        <w:rPr/>
      </w:pPr>
      <w:r>
        <w:rPr/>
        <w:t>Default value</w:t>
      </w:r>
    </w:p>
    <w:p>
      <w:pPr>
        <w:pStyle w:val="Normal"/>
        <w:spacing w:before="0" w:after="240"/>
        <w:rPr/>
      </w:pPr>
      <w:r>
        <w:rPr/>
        <w:t>Constraints</w:t>
      </w:r>
    </w:p>
    <w:p>
      <w:pPr>
        <w:pStyle w:val="Heading9"/>
        <w:ind w:hanging="0" w:start="0"/>
        <w:rPr/>
      </w:pPr>
      <w:r>
        <w:rPr/>
        <w:t>Error Handling and Notification</w:t>
      </w:r>
    </w:p>
    <w:p>
      <w:pPr>
        <w:pStyle w:val="BodyText2"/>
        <w:rPr/>
      </w:pPr>
      <w:r>
        <w:rPr/>
        <w:t>Specify the error handling methods used in major software components.   Specify the intended recipients and the delivery mechanism used to transmit message.</w:t>
      </w:r>
    </w:p>
    <w:p>
      <w:pPr>
        <w:pStyle w:val="Heading8"/>
        <w:ind w:hanging="0" w:start="0"/>
        <w:rPr/>
      </w:pPr>
      <w:r>
        <w:rPr/>
        <w:t>External Interfaces, comprising information regarding the following:</w:t>
      </w:r>
    </w:p>
    <w:p>
      <w:pPr>
        <w:pStyle w:val="Heading9"/>
        <w:ind w:hanging="0" w:start="0"/>
        <w:rPr/>
      </w:pPr>
      <w:r>
        <w:rPr/>
        <w:t>Communications</w:t>
      </w:r>
    </w:p>
    <w:p>
      <w:pPr>
        <w:pStyle w:val="BodyLettersHang"/>
        <w:numPr>
          <w:ilvl w:val="0"/>
          <w:numId w:val="14"/>
        </w:numPr>
        <w:tabs>
          <w:tab w:val="left" w:pos="720" w:leader="none"/>
        </w:tabs>
        <w:ind w:hanging="0" w:start="2160" w:end="0"/>
        <w:rPr/>
      </w:pPr>
      <w:r>
        <w:rPr/>
        <w:t>Hardware</w:t>
      </w:r>
    </w:p>
    <w:p>
      <w:pPr>
        <w:pStyle w:val="BodyLettersHang"/>
        <w:numPr>
          <w:ilvl w:val="0"/>
          <w:numId w:val="14"/>
        </w:numPr>
        <w:tabs>
          <w:tab w:val="left" w:pos="720" w:leader="none"/>
        </w:tabs>
        <w:ind w:hanging="0" w:start="2160" w:end="0"/>
        <w:rPr/>
      </w:pPr>
      <w:r>
        <w:rPr/>
        <w:t>Software</w:t>
      </w:r>
    </w:p>
    <w:p>
      <w:pPr>
        <w:pStyle w:val="BodyLettersHang"/>
        <w:numPr>
          <w:ilvl w:val="0"/>
          <w:numId w:val="14"/>
        </w:numPr>
        <w:tabs>
          <w:tab w:val="left" w:pos="720" w:leader="none"/>
        </w:tabs>
        <w:ind w:hanging="0" w:start="2160" w:end="0"/>
        <w:rPr/>
      </w:pPr>
      <w:r>
        <w:rPr/>
        <w:t>Service Providers</w:t>
      </w:r>
    </w:p>
    <w:p>
      <w:pPr>
        <w:pStyle w:val="Heading9"/>
        <w:ind w:hanging="0" w:start="0"/>
        <w:rPr/>
      </w:pPr>
      <w:r>
        <w:rPr/>
        <w:t>Software Integration</w:t>
      </w:r>
    </w:p>
    <w:p>
      <w:pPr>
        <w:pStyle w:val="BodyText2"/>
        <w:spacing w:before="0" w:after="0"/>
        <w:rPr/>
      </w:pPr>
      <w:r>
        <w:rPr/>
        <w:t>Describe how each major component of the Enron EDI Hub interfaces with external applications including the following:</w:t>
      </w:r>
    </w:p>
    <w:p>
      <w:pPr>
        <w:pStyle w:val="BodyText2"/>
        <w:rPr/>
      </w:pPr>
      <w:r>
        <w:rPr/>
        <w:t>SAP, ENA, ETS, TMS, Stat, Unify, Treasury, PGE, EES, EES Dublin, Azurix, Gas Pipe Lines, TAXES, Clinton, HR, FDC, Brazil, Encore, GPG, HPL, Northern Border.</w:t>
      </w:r>
    </w:p>
    <w:p>
      <w:pPr>
        <w:pStyle w:val="Heading9"/>
        <w:ind w:hanging="0" w:start="0"/>
        <w:rPr/>
      </w:pPr>
      <w:r>
        <w:rPr/>
        <w:t>User Interfaces</w:t>
      </w:r>
    </w:p>
    <w:p>
      <w:pPr>
        <w:pStyle w:val="Heading8"/>
        <w:ind w:hanging="0" w:start="0"/>
        <w:rPr/>
      </w:pPr>
      <w:r>
        <w:rPr/>
        <w:t>Security Systems, comprising information regarding the following:</w:t>
      </w:r>
    </w:p>
    <w:p>
      <w:pPr>
        <w:pStyle w:val="Heading9"/>
        <w:ind w:hanging="0" w:start="0"/>
        <w:rPr/>
      </w:pPr>
      <w:r>
        <w:rPr/>
        <w:t>Network Isolation and Firewalls</w:t>
      </w:r>
    </w:p>
    <w:p>
      <w:pPr>
        <w:pStyle w:val="Heading9"/>
        <w:ind w:hanging="0" w:start="0"/>
        <w:rPr/>
      </w:pPr>
      <w:r>
        <w:rPr/>
        <w:t>Software Components</w:t>
      </w:r>
    </w:p>
    <w:p>
      <w:pPr>
        <w:pStyle w:val="Heading8"/>
        <w:ind w:hanging="0" w:start="0"/>
        <w:rPr/>
      </w:pPr>
      <w:r>
        <w:rPr/>
        <w:t>Naming Conventions and Definitions</w:t>
      </w:r>
    </w:p>
    <w:p>
      <w:pPr>
        <w:pStyle w:val="Heading7"/>
        <w:ind w:hanging="0" w:start="0"/>
        <w:rPr/>
      </w:pPr>
      <w:r>
        <w:rPr/>
        <w:t>Operating Procedures</w:t>
      </w:r>
    </w:p>
    <w:p>
      <w:pPr>
        <w:pStyle w:val="Heading8"/>
        <w:ind w:hanging="0" w:start="0"/>
        <w:rPr/>
      </w:pPr>
      <w:r>
        <w:rPr/>
        <w:t>Roles and Responsibilities, comprising information regarding the following:</w:t>
      </w:r>
    </w:p>
    <w:p>
      <w:pPr>
        <w:pStyle w:val="Heading9"/>
        <w:ind w:hanging="0" w:start="0"/>
        <w:rPr/>
      </w:pPr>
      <w:r>
        <w:rPr/>
        <w:t>System Administration</w:t>
      </w:r>
    </w:p>
    <w:p>
      <w:pPr>
        <w:pStyle w:val="Heading9"/>
        <w:ind w:hanging="0" w:start="0"/>
        <w:rPr/>
      </w:pPr>
      <w:r>
        <w:rPr/>
        <w:t>Database Administration</w:t>
      </w:r>
    </w:p>
    <w:p>
      <w:pPr>
        <w:pStyle w:val="Heading9"/>
        <w:ind w:hanging="0" w:start="0"/>
        <w:rPr/>
      </w:pPr>
      <w:r>
        <w:rPr/>
        <w:t>Application Maintenance</w:t>
      </w:r>
    </w:p>
    <w:p>
      <w:pPr>
        <w:pStyle w:val="Heading9"/>
        <w:ind w:hanging="0" w:start="0"/>
        <w:rPr/>
      </w:pPr>
      <w:r>
        <w:rPr/>
        <w:t>Customer Support</w:t>
      </w:r>
    </w:p>
    <w:p>
      <w:pPr>
        <w:pStyle w:val="Heading8"/>
        <w:ind w:hanging="0" w:start="0"/>
        <w:rPr/>
      </w:pPr>
      <w:r>
        <w:rPr/>
        <w:t>Staging Platforms, comprising information regarding the following:</w:t>
      </w:r>
    </w:p>
    <w:p>
      <w:pPr>
        <w:pStyle w:val="Heading9"/>
        <w:ind w:hanging="0" w:start="0"/>
        <w:rPr/>
      </w:pPr>
      <w:r>
        <w:rPr/>
        <w:t>Development and Testing</w:t>
      </w:r>
    </w:p>
    <w:p>
      <w:pPr>
        <w:pStyle w:val="Heading9"/>
        <w:ind w:hanging="0" w:start="0"/>
        <w:rPr/>
      </w:pPr>
      <w:r>
        <w:rPr/>
        <w:t>Quality Assurance</w:t>
      </w:r>
    </w:p>
    <w:p>
      <w:pPr>
        <w:pStyle w:val="Heading9"/>
        <w:ind w:hanging="0" w:start="0"/>
        <w:rPr/>
      </w:pPr>
      <w:r>
        <w:rPr/>
        <w:t>Production</w:t>
      </w:r>
    </w:p>
    <w:p>
      <w:pPr>
        <w:pStyle w:val="Heading9"/>
        <w:ind w:hanging="0" w:start="0"/>
        <w:rPr/>
      </w:pPr>
      <w:r>
        <w:rPr/>
        <w:t>Transition Procedures</w:t>
      </w:r>
    </w:p>
    <w:p>
      <w:pPr>
        <w:pStyle w:val="Heading8"/>
        <w:ind w:hanging="0" w:start="0"/>
        <w:rPr/>
      </w:pPr>
      <w:r>
        <w:rPr/>
        <w:t>Routine Tasks, Desk Operating Procedures and Checklists</w:t>
      </w:r>
    </w:p>
    <w:p>
      <w:pPr>
        <w:pStyle w:val="Heading8"/>
        <w:ind w:hanging="0" w:start="0"/>
        <w:rPr/>
      </w:pPr>
      <w:r>
        <w:rPr/>
        <w:t>Technical Support Procedures</w:t>
      </w:r>
    </w:p>
    <w:p>
      <w:pPr>
        <w:pStyle w:val="Heading8"/>
        <w:ind w:hanging="0" w:start="0"/>
        <w:rPr/>
      </w:pPr>
      <w:r>
        <w:rPr/>
        <w:t>Troubleshooting Procedures, comprising information regarding the following:</w:t>
      </w:r>
    </w:p>
    <w:p>
      <w:pPr>
        <w:pStyle w:val="Heading9"/>
        <w:ind w:hanging="0" w:start="0"/>
        <w:rPr/>
      </w:pPr>
      <w:r>
        <w:rPr/>
        <w:t>Diagnostic Tree</w:t>
      </w:r>
    </w:p>
    <w:p>
      <w:pPr>
        <w:pStyle w:val="Heading9"/>
        <w:ind w:hanging="0" w:start="0"/>
        <w:rPr/>
      </w:pPr>
      <w:r>
        <w:rPr/>
        <w:t>Error Messages</w:t>
      </w:r>
    </w:p>
    <w:p>
      <w:pPr>
        <w:pStyle w:val="BodyLettersInd"/>
        <w:numPr>
          <w:ilvl w:val="0"/>
          <w:numId w:val="12"/>
        </w:numPr>
        <w:ind w:hanging="0" w:start="2160" w:end="0"/>
        <w:rPr/>
      </w:pPr>
      <w:r>
        <w:rPr/>
        <w:t>Possible Causes</w:t>
      </w:r>
    </w:p>
    <w:p>
      <w:pPr>
        <w:pStyle w:val="BodyLettersInd"/>
        <w:numPr>
          <w:ilvl w:val="0"/>
          <w:numId w:val="12"/>
        </w:numPr>
        <w:ind w:hanging="0" w:start="2160" w:end="0"/>
        <w:rPr/>
      </w:pPr>
      <w:r>
        <w:rPr/>
        <w:t>Suggested Resolution</w:t>
      </w:r>
    </w:p>
    <w:p>
      <w:pPr>
        <w:pStyle w:val="Heading8"/>
        <w:ind w:hanging="0" w:start="0"/>
        <w:rPr/>
      </w:pPr>
      <w:r>
        <w:rPr/>
        <w:t>Frequently Encountered Problems</w:t>
      </w:r>
    </w:p>
    <w:p>
      <w:pPr>
        <w:pStyle w:val="Heading8"/>
        <w:ind w:hanging="0" w:start="0"/>
        <w:rPr/>
      </w:pPr>
      <w:r>
        <w:rPr/>
        <w:t>Issue Tracking and Reporting</w:t>
      </w:r>
    </w:p>
    <w:p>
      <w:pPr>
        <w:pStyle w:val="Heading8"/>
        <w:ind w:hanging="0" w:start="0"/>
        <w:rPr/>
      </w:pPr>
      <w:r>
        <w:rPr/>
        <w:t>Escalation Procedures</w:t>
      </w:r>
    </w:p>
    <w:p>
      <w:pPr>
        <w:pStyle w:val="Heading8"/>
        <w:ind w:hanging="0" w:start="0"/>
        <w:rPr/>
      </w:pPr>
      <w:r>
        <w:rPr/>
        <w:t>Security Configuration</w:t>
      </w:r>
    </w:p>
    <w:p>
      <w:pPr>
        <w:pStyle w:val="Heading8"/>
        <w:ind w:hanging="0" w:start="0"/>
        <w:rPr/>
      </w:pPr>
      <w:r>
        <w:rPr/>
        <w:t>Backup and Recovery</w:t>
      </w:r>
    </w:p>
    <w:p>
      <w:pPr>
        <w:pStyle w:val="Heading8"/>
        <w:ind w:hanging="0" w:start="0"/>
        <w:rPr/>
      </w:pPr>
      <w:r>
        <w:rPr/>
        <w:t>Disaster Recovery, comprising information regarding the following:</w:t>
      </w:r>
    </w:p>
    <w:p>
      <w:pPr>
        <w:pStyle w:val="Heading9"/>
        <w:ind w:hanging="0" w:start="0"/>
        <w:rPr/>
      </w:pPr>
      <w:r>
        <w:rPr/>
        <w:t>Facilities</w:t>
      </w:r>
    </w:p>
    <w:p>
      <w:pPr>
        <w:pStyle w:val="Heading9"/>
        <w:ind w:hanging="0" w:start="0"/>
        <w:rPr/>
      </w:pPr>
      <w:r>
        <w:rPr/>
        <w:t>Procedures</w:t>
      </w:r>
    </w:p>
    <w:p>
      <w:pPr>
        <w:pStyle w:val="Heading7"/>
        <w:ind w:hanging="0" w:start="0"/>
        <w:rPr/>
      </w:pPr>
      <w:r>
        <w:rPr/>
        <w:t>Customer Manual</w:t>
      </w:r>
    </w:p>
    <w:p>
      <w:pPr>
        <w:pStyle w:val="Heading8"/>
        <w:ind w:hanging="0" w:start="0"/>
        <w:rPr/>
      </w:pPr>
      <w:r>
        <w:rPr/>
        <w:t>Acceptable File Formats</w:t>
      </w:r>
    </w:p>
    <w:p>
      <w:pPr>
        <w:pStyle w:val="Heading8"/>
        <w:ind w:hanging="0" w:start="0"/>
        <w:rPr/>
      </w:pPr>
      <w:r>
        <w:rPr/>
        <w:t>Required Communications Subsystems</w:t>
      </w:r>
    </w:p>
    <w:p>
      <w:pPr>
        <w:pStyle w:val="Heading8"/>
        <w:ind w:hanging="0" w:start="0"/>
        <w:rPr/>
      </w:pPr>
      <w:r>
        <w:rPr/>
        <w:t>Prerequisite Software</w:t>
      </w:r>
    </w:p>
    <w:p>
      <w:pPr>
        <w:pStyle w:val="Heading8"/>
        <w:ind w:hanging="0" w:start="0"/>
        <w:rPr/>
      </w:pPr>
      <w:r>
        <w:rPr/>
        <w:t>Operating Procedures, comprising information regarding the following:</w:t>
      </w:r>
    </w:p>
    <w:p>
      <w:pPr>
        <w:pStyle w:val="Heading9"/>
        <w:ind w:hanging="0" w:start="0"/>
        <w:rPr/>
      </w:pPr>
      <w:r>
        <w:rPr/>
        <w:t>Trading Partner Setup</w:t>
      </w:r>
    </w:p>
    <w:p>
      <w:pPr>
        <w:pStyle w:val="Heading9"/>
        <w:ind w:hanging="0" w:start="0"/>
        <w:rPr/>
      </w:pPr>
      <w:r>
        <w:rPr/>
        <w:t>Trading Partner Maintenance</w:t>
      </w:r>
    </w:p>
    <w:p>
      <w:pPr>
        <w:pStyle w:val="Heading9"/>
        <w:ind w:hanging="0" w:start="0"/>
        <w:rPr/>
      </w:pPr>
      <w:r>
        <w:rPr/>
        <w:t>Routine Tasks</w:t>
      </w:r>
    </w:p>
    <w:p>
      <w:pPr>
        <w:pStyle w:val="Heading8"/>
        <w:ind w:hanging="0" w:start="0"/>
        <w:rPr/>
      </w:pPr>
      <w:r>
        <w:rPr/>
        <w:t>Troubleshooting Procedures, comprising information regarding the following:</w:t>
      </w:r>
    </w:p>
    <w:p>
      <w:pPr>
        <w:pStyle w:val="Heading9"/>
        <w:ind w:hanging="0" w:start="0"/>
        <w:rPr/>
      </w:pPr>
      <w:r>
        <w:rPr/>
        <w:t>Diagnostic Tree</w:t>
      </w:r>
    </w:p>
    <w:p>
      <w:pPr>
        <w:pStyle w:val="Heading9"/>
        <w:ind w:hanging="0" w:start="0"/>
        <w:rPr/>
      </w:pPr>
      <w:r>
        <w:rPr/>
        <w:t>Error Messages</w:t>
      </w:r>
    </w:p>
    <w:p>
      <w:pPr>
        <w:pStyle w:val="BodyLettersInd"/>
        <w:numPr>
          <w:ilvl w:val="0"/>
          <w:numId w:val="23"/>
        </w:numPr>
        <w:ind w:hanging="0" w:start="2160" w:end="0"/>
        <w:rPr/>
      </w:pPr>
      <w:r>
        <w:rPr/>
        <w:t>Possible Causes</w:t>
      </w:r>
    </w:p>
    <w:p>
      <w:pPr>
        <w:pStyle w:val="BodyLettersInd"/>
        <w:numPr>
          <w:ilvl w:val="0"/>
          <w:numId w:val="12"/>
        </w:numPr>
        <w:ind w:hanging="0" w:start="2160" w:end="0"/>
        <w:rPr/>
      </w:pPr>
      <w:r>
        <w:rPr/>
        <w:t>Suggested Resolution</w:t>
      </w:r>
    </w:p>
    <w:p>
      <w:pPr>
        <w:pStyle w:val="Heading8"/>
        <w:ind w:hanging="0" w:start="0"/>
        <w:rPr/>
      </w:pPr>
      <w:r>
        <w:rPr/>
        <w:t>Available Reports</w:t>
      </w:r>
    </w:p>
    <w:p>
      <w:pPr>
        <w:pStyle w:val="Heading8"/>
        <w:ind w:hanging="0" w:start="0"/>
        <w:rPr/>
      </w:pPr>
      <w:r>
        <w:rPr/>
        <w:t>Service Level Agreement</w:t>
      </w:r>
    </w:p>
    <w:p>
      <w:pPr>
        <w:pStyle w:val="Heading8"/>
        <w:ind w:hanging="0" w:start="0"/>
        <w:rPr/>
      </w:pPr>
      <w:r>
        <w:rPr/>
        <w:t>Customer Support Contacts</w:t>
      </w:r>
    </w:p>
    <w:p>
      <w:pPr>
        <w:pStyle w:val="Heading8"/>
        <w:ind w:hanging="0" w:start="0"/>
        <w:rPr/>
      </w:pPr>
      <w:r>
        <w:rPr/>
        <w:t>Escalation Procedures</w:t>
      </w:r>
    </w:p>
    <w:p>
      <w:pPr>
        <w:pStyle w:val="Heading7"/>
        <w:ind w:hanging="0" w:start="0"/>
        <w:rPr/>
      </w:pPr>
      <w:r>
        <w:rPr/>
        <w:t>Critical Personnel</w:t>
      </w:r>
    </w:p>
    <w:p>
      <w:pPr>
        <w:pStyle w:val="BodyText2"/>
        <w:rPr/>
      </w:pPr>
      <w:r>
        <w:rPr/>
        <w:t>Identify personnel critical to:</w:t>
      </w:r>
    </w:p>
    <w:p>
      <w:pPr>
        <w:pStyle w:val="Heading8"/>
        <w:ind w:hanging="0" w:start="0"/>
        <w:rPr/>
      </w:pPr>
      <w:r>
        <w:rPr/>
        <w:t>current operations, comprising information regarding the following:</w:t>
      </w:r>
    </w:p>
    <w:p>
      <w:pPr>
        <w:pStyle w:val="Heading9"/>
        <w:ind w:hanging="0" w:start="0"/>
        <w:rPr/>
      </w:pPr>
      <w:r>
        <w:rPr/>
        <w:t>Routine maintenance</w:t>
      </w:r>
    </w:p>
    <w:p>
      <w:pPr>
        <w:pStyle w:val="Heading9"/>
        <w:ind w:hanging="0" w:start="0"/>
        <w:rPr/>
      </w:pPr>
      <w:r>
        <w:rPr/>
        <w:t>Production monitoring</w:t>
      </w:r>
    </w:p>
    <w:p>
      <w:pPr>
        <w:pStyle w:val="Heading9"/>
        <w:ind w:hanging="0" w:start="0"/>
        <w:rPr/>
      </w:pPr>
      <w:r>
        <w:rPr/>
        <w:t>Problem Resolution</w:t>
      </w:r>
    </w:p>
    <w:p>
      <w:pPr>
        <w:pStyle w:val="Heading9"/>
        <w:ind w:hanging="0" w:start="0"/>
        <w:rPr/>
      </w:pPr>
      <w:r>
        <w:rPr/>
        <w:t>Modification of document maps</w:t>
      </w:r>
    </w:p>
    <w:p>
      <w:pPr>
        <w:pStyle w:val="Heading9"/>
        <w:ind w:hanging="0" w:start="0"/>
        <w:rPr/>
      </w:pPr>
      <w:r>
        <w:rPr/>
        <w:t>Customer Support</w:t>
      </w:r>
    </w:p>
    <w:p>
      <w:pPr>
        <w:pStyle w:val="Heading8"/>
        <w:ind w:hanging="0" w:start="0"/>
        <w:rPr/>
      </w:pPr>
      <w:r>
        <w:rPr/>
        <w:t>custom code maintenance</w:t>
      </w:r>
    </w:p>
    <w:p>
      <w:pPr>
        <w:pStyle w:val="Heading8"/>
        <w:ind w:hanging="0" w:start="0"/>
        <w:rPr/>
      </w:pPr>
      <w:r>
        <w:rPr/>
        <w:t>custom code enhancements.</w:t>
      </w:r>
    </w:p>
    <w:p>
      <w:pPr>
        <w:pStyle w:val="Heading8"/>
        <w:ind w:hanging="0" w:start="0"/>
        <w:rPr/>
      </w:pPr>
      <w:r>
        <w:rPr/>
        <w:t>electronic funds transfer implementation.</w:t>
      </w:r>
    </w:p>
    <w:p>
      <w:pPr>
        <w:pStyle w:val="Heading7"/>
        <w:ind w:hanging="0" w:start="0"/>
        <w:rPr/>
      </w:pPr>
      <w:r>
        <w:rPr/>
        <w:t>Project Pipeline</w:t>
      </w:r>
    </w:p>
    <w:p>
      <w:pPr>
        <w:pStyle w:val="BodyText2"/>
        <w:rPr/>
      </w:pPr>
      <w:r>
        <w:rPr/>
        <w:t>In addition to requesting changes to existing processes, Enron business units routinely request that new trading processes be implemented.  By customer or Enron business unit, list and provide functional requirements and timelines for all planned and anticipated projects.  Identify the individuals requesting the project and the project managers.</w:t>
      </w:r>
    </w:p>
    <w:p>
      <w:pPr>
        <w:sectPr>
          <w:headerReference w:type="default" r:id="rId52"/>
          <w:headerReference w:type="first" r:id="rId53"/>
          <w:footerReference w:type="default" r:id="rId54"/>
          <w:footerReference w:type="first" r:id="rId55"/>
          <w:type w:val="nextPage"/>
          <w:pgSz w:w="12240" w:h="15840"/>
          <w:pgMar w:left="1440" w:right="1440" w:gutter="0" w:header="720" w:top="1440" w:footer="720" w:bottom="1440"/>
          <w:pgNumType w:fmt="decimal"/>
          <w:formProt w:val="false"/>
          <w:titlePg/>
          <w:textDirection w:val="lrTb"/>
          <w:docGrid w:type="default" w:linePitch="360" w:charSpace="0"/>
        </w:sectPr>
        <w:pStyle w:val="Normal"/>
        <w:rPr/>
      </w:pPr>
      <w:r>
        <w:rPr/>
      </w:r>
    </w:p>
    <w:p>
      <w:pPr>
        <w:pStyle w:val="CenteredHeading"/>
        <w:rPr/>
      </w:pPr>
      <w:r>
        <w:rPr/>
        <w:t>SCHEDULE 5.1(b)</w:t>
      </w:r>
    </w:p>
    <w:p>
      <w:pPr>
        <w:pStyle w:val="CenteredHeading"/>
        <w:rPr>
          <w:u w:val="none"/>
        </w:rPr>
      </w:pPr>
      <w:r>
        <w:rPr>
          <w:u w:val="none"/>
        </w:rPr>
        <w:t>THIRD PARTY CONSENTS</w:t>
      </w:r>
    </w:p>
    <w:p>
      <w:pPr>
        <w:sectPr>
          <w:headerReference w:type="default" r:id="rId56"/>
          <w:headerReference w:type="first" r:id="rId57"/>
          <w:footerReference w:type="default" r:id="rId58"/>
          <w:footerReference w:type="first" r:id="rId59"/>
          <w:type w:val="nextPage"/>
          <w:pgSz w:w="12240" w:h="15840"/>
          <w:pgMar w:left="1440" w:right="1440" w:gutter="0" w:header="720" w:top="1440" w:footer="720" w:bottom="1440"/>
          <w:pgNumType w:fmt="decimal"/>
          <w:formProt w:val="false"/>
          <w:titlePg/>
          <w:textDirection w:val="lrTb"/>
          <w:docGrid w:type="default" w:linePitch="360" w:charSpace="0"/>
        </w:sectPr>
        <w:pStyle w:val="BodyText2"/>
        <w:rPr/>
      </w:pPr>
      <w:r>
        <w:rPr/>
        <w:t>None.</w:t>
      </w:r>
    </w:p>
    <w:p>
      <w:pPr>
        <w:pStyle w:val="CenteredHeading"/>
        <w:rPr/>
      </w:pPr>
      <w:r>
        <w:rPr/>
        <w:t>EXHIBIT A</w:t>
      </w:r>
    </w:p>
    <w:p>
      <w:pPr>
        <w:pStyle w:val="CenteredHeading"/>
        <w:rPr>
          <w:u w:val="none"/>
        </w:rPr>
      </w:pPr>
      <w:r>
        <w:rPr>
          <w:u w:val="none"/>
        </w:rPr>
        <w:t>FORM OF COMMON STOCK PURCHASE WARRANT</w:t>
      </w:r>
    </w:p>
    <w:p>
      <w:pPr>
        <w:pStyle w:val="BodyText"/>
        <w:ind w:hanging="0" w:end="0"/>
        <w:rPr>
          <w:u w:val="none"/>
        </w:rPr>
      </w:pPr>
      <w:r>
        <w:rPr>
          <w:u w:val="none"/>
        </w:rPr>
      </w:r>
    </w:p>
    <w:p>
      <w:pPr>
        <w:sectPr>
          <w:headerReference w:type="default" r:id="rId60"/>
          <w:headerReference w:type="first" r:id="rId61"/>
          <w:footerReference w:type="default" r:id="rId62"/>
          <w:footerReference w:type="first" r:id="rId63"/>
          <w:type w:val="nextPage"/>
          <w:pgSz w:w="12240" w:h="15840"/>
          <w:pgMar w:left="1440" w:right="1440" w:gutter="0" w:header="720" w:top="1440" w:footer="720" w:bottom="1440"/>
          <w:pgNumType w:fmt="decimal"/>
          <w:formProt w:val="false"/>
          <w:titlePg/>
          <w:textDirection w:val="lrTb"/>
          <w:docGrid w:type="default" w:linePitch="360" w:charSpace="0"/>
        </w:sectPr>
        <w:pStyle w:val="BodyText"/>
        <w:ind w:hanging="0" w:end="0"/>
        <w:rPr/>
      </w:pPr>
      <w:r>
        <w:rPr/>
      </w:r>
    </w:p>
    <w:p>
      <w:pPr>
        <w:pStyle w:val="CenteredHeading"/>
        <w:rPr/>
      </w:pPr>
      <w:r>
        <w:rPr/>
        <w:t>EXHIBIT B</w:t>
      </w:r>
    </w:p>
    <w:p>
      <w:pPr>
        <w:pStyle w:val="BodyText"/>
        <w:ind w:hanging="0" w:end="0"/>
        <w:jc w:val="center"/>
        <w:rPr>
          <w:b/>
        </w:rPr>
      </w:pPr>
      <w:r>
        <w:rPr>
          <w:b/>
        </w:rPr>
        <w:t>AMENDMENT TO INVESTORS’ RIGHTS AGREEMENT</w:t>
      </w:r>
    </w:p>
    <w:p>
      <w:pPr>
        <w:sectPr>
          <w:headerReference w:type="default" r:id="rId64"/>
          <w:headerReference w:type="first" r:id="rId65"/>
          <w:footerReference w:type="default" r:id="rId66"/>
          <w:footerReference w:type="first" r:id="rId67"/>
          <w:type w:val="nextPage"/>
          <w:pgSz w:w="12240" w:h="15840"/>
          <w:pgMar w:left="1440" w:right="1440" w:gutter="0" w:header="720" w:top="1440" w:footer="720" w:bottom="1440"/>
          <w:pgNumType w:fmt="decimal"/>
          <w:formProt w:val="false"/>
          <w:titlePg/>
          <w:textDirection w:val="lrTb"/>
          <w:docGrid w:type="default" w:linePitch="360" w:charSpace="0"/>
        </w:sectPr>
        <w:pStyle w:val="ABodyText"/>
        <w:ind w:hanging="0" w:end="0"/>
        <w:rPr>
          <w:b/>
        </w:rPr>
      </w:pPr>
      <w:r>
        <w:rPr>
          <w:b/>
        </w:rPr>
      </w:r>
    </w:p>
    <w:p>
      <w:pPr>
        <w:pStyle w:val="CenteredHeading"/>
        <w:rPr/>
      </w:pPr>
      <w:r>
        <w:rPr/>
        <w:t>EXHIBIT C</w:t>
      </w:r>
    </w:p>
    <w:p>
      <w:pPr>
        <w:pStyle w:val="CenteredHeading"/>
        <w:rPr>
          <w:u w:val="none"/>
        </w:rPr>
      </w:pPr>
      <w:r>
        <w:rPr>
          <w:u w:val="none"/>
        </w:rPr>
        <w:t>FORM OF ASSIGNMENT</w:t>
      </w:r>
    </w:p>
    <w:p>
      <w:pPr>
        <w:sectPr>
          <w:headerReference w:type="default" r:id="rId68"/>
          <w:headerReference w:type="first" r:id="rId69"/>
          <w:footerReference w:type="default" r:id="rId70"/>
          <w:footerReference w:type="first" r:id="rId71"/>
          <w:type w:val="nextPage"/>
          <w:pgSz w:w="12240" w:h="15840"/>
          <w:pgMar w:left="1440" w:right="1440" w:gutter="0" w:header="720" w:top="1440" w:footer="720" w:bottom="1440"/>
          <w:pgNumType w:fmt="decimal"/>
          <w:formProt w:val="false"/>
          <w:titlePg/>
          <w:textDirection w:val="lrTb"/>
          <w:docGrid w:type="default" w:linePitch="360" w:charSpace="0"/>
        </w:sectPr>
        <w:pStyle w:val="Normal"/>
        <w:rPr>
          <w:u w:val="none"/>
        </w:rPr>
      </w:pPr>
      <w:r>
        <w:rPr>
          <w:u w:val="none"/>
        </w:rPr>
      </w:r>
    </w:p>
    <w:p>
      <w:pPr>
        <w:pStyle w:val="CenteredHeading"/>
        <w:rPr/>
      </w:pPr>
      <w:r>
        <w:rPr/>
        <w:t>EXHIBIT D</w:t>
      </w:r>
    </w:p>
    <w:p>
      <w:pPr>
        <w:pStyle w:val="CenteredHeading"/>
        <w:rPr>
          <w:u w:val="none"/>
        </w:rPr>
      </w:pPr>
      <w:r>
        <w:rPr>
          <w:u w:val="none"/>
        </w:rPr>
        <w:t>NON-COMPETITION AGREEMENT</w:t>
      </w:r>
    </w:p>
    <w:p>
      <w:pPr>
        <w:pStyle w:val="Normal"/>
        <w:rPr>
          <w:u w:val="none"/>
        </w:rPr>
      </w:pPr>
      <w:r>
        <w:rPr>
          <w:u w:val="none"/>
        </w:rPr>
      </w:r>
    </w:p>
    <w:p>
      <w:pPr>
        <w:pStyle w:val="Normal"/>
        <w:rPr/>
      </w:pPr>
      <w:r>
        <w:rPr/>
      </w:r>
    </w:p>
    <w:sectPr>
      <w:headerReference w:type="default" r:id="rId72"/>
      <w:headerReference w:type="first" r:id="rId73"/>
      <w:footerReference w:type="default" r:id="rId74"/>
      <w:footerReference w:type="first" r:id="rId7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default"/>
  </w:font>
  <w:font w:name="Garamond">
    <w:charset w:val="00" w:characterSet="windows-1252"/>
    <w:family w:val="roman"/>
    <w:pitch w:val="variable"/>
  </w:font>
  <w:font w:name="Times New Roman Bold">
    <w:charset w:val="00" w:characterSet="windows-1252"/>
    <w:family w:val="roman"/>
    <w:pitch w:val="default"/>
  </w:font>
  <w:font w:name="Tahoma">
    <w:charset w:val="00" w:characterSet="windows-1252"/>
    <w:family w:val="swiss"/>
    <w:pitch w:val="variable"/>
  </w:font>
  <w:font w:name="CG Times (W1)">
    <w:charset w:val="00" w:characterSet="windows-1252"/>
    <w:family w:val="roman"/>
    <w:pitch w:val="variable"/>
  </w:font>
  <w:font w:name="MS Sans Serif">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r>
      <mc:AlternateContent>
        <mc:Choice Requires="wps">
          <w:drawing>
            <wp:anchor behindDoc="0" distT="0" distB="0" distL="0" distR="0" simplePos="0" locked="0" layoutInCell="0" allowOverlap="1" relativeHeight="33">
              <wp:simplePos x="0" y="0"/>
              <wp:positionH relativeFrom="margin">
                <wp:align>center</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/mnt/main-storage/datasets/enron-docs/doc/ECO_Final_Asset_Purchase_Agreement.doc</w:t>
    </w:r>
    <w:r>
      <w:rPr>
        <w:sz w:val="12"/>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6" name="Frame6"/>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/mnt/main-storage/datasets/enron-docs/doc/ECO_Final_Asset_Purchase_Agreement.doc</w:t>
    </w:r>
    <w:r>
      <w:rPr>
        <w:sz w:val="12"/>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7" name="Frame7"/>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/mnt/main-storage/datasets/enron-docs/doc/ECO_Final_Asset_Purchase_Agreement.doc</w:t>
    </w:r>
    <w:r>
      <w:rPr>
        <w:sz w:val="12"/>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8" name="Frame8"/>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/mnt/main-storage/datasets/enron-docs/doc/ECO_Final_Asset_Purchase_Agreement.doc</w:t>
    </w:r>
    <w:r>
      <w:rPr>
        <w:sz w:val="12"/>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9" name="Frame9"/>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/mnt/main-storage/datasets/enron-docs/doc/ECO_Final_Asset_Purchase_Agreement.doc</w:t>
    </w:r>
    <w:r>
      <w:rPr>
        <w:sz w:val="12"/>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0" name="Frame10"/>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/mnt/main-storage/datasets/enron-docs/doc/ECO_Final_Asset_Purchase_Agreement.doc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/mnt/main-storage/datasets/enron-docs/doc/ECO_Final_Asset_Purchase_Agreement.doc</w:t>
    </w:r>
    <w:r>
      <w:rPr>
        <w:sz w:val="12"/>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1" name="Frame11"/>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/mnt/main-storage/datasets/enron-docs/doc/ECO_Final_Asset_Purchase_Agreement.doc</w:t>
    </w:r>
    <w:r>
      <w:rPr>
        <w:sz w:val="12"/>
      </w:rPr>
      <w:fldChar w:fldCharType="end"/>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2" name="Frame12"/>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/mnt/main-storage/datasets/enron-docs/doc/ECO_Final_Asset_Purchase_Agreement.doc</w:t>
    </w:r>
    <w:r>
      <w:rPr>
        <w:sz w:val="12"/>
      </w:rPr>
      <w:fldChar w:fldCharType="end"/>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45</w:t>
    </w:r>
    <w:r>
      <w:rPr>
        <w:rStyle w:val="PageNumber"/>
      </w:rPr>
      <w:fldChar w:fldCharType="end"/>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14605" cy="175260"/>
              <wp:effectExtent l="0" t="0" r="0" b="0"/>
              <wp:wrapSquare wrapText="bothSides"/>
              <wp:docPr id="13" name="Frame1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/mnt/main-storage/datasets/enron-docs/doc/ECO_Final_Asset_Purchase_Agreement.doc</w:t>
    </w:r>
    <w:r>
      <w:rPr>
        <w:sz w:val="12"/>
      </w:rPr>
      <w:fldChar w:fldCharType="end"/>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4" name="Frame14"/>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/mnt/main-storage/datasets/enron-docs/doc/ECO_Final_Asset_Purchase_Agreement.doc</w:t>
    </w:r>
    <w:r>
      <w:rPr>
        <w:sz w:val="12"/>
      </w:rPr>
      <w:fldChar w:fldCharType="end"/>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5" name="Frame15"/>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/mnt/main-storage/datasets/enron-docs/doc/ECO_Final_Asset_Purchase_Agreement.doc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/mnt/main-storage/datasets/enron-docs/doc/ECO_Final_Asset_Purchase_Agreement.doc</w:t>
    </w:r>
    <w:r>
      <w:rPr>
        <w:sz w:val="12"/>
      </w:rPr>
      <w:fldChar w:fldCharType="end"/>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6" name="Frame16"/>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/mnt/main-storage/datasets/enron-docs/doc/ECO_Final_Asset_Purchase_Agreement.doc</w:t>
    </w:r>
    <w:r>
      <w:rPr>
        <w:sz w:val="12"/>
      </w:rPr>
      <w:fldChar w:fldCharType="end"/>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7" name="Frame17"/>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/mnt/main-storage/datasets/enron-docs/doc/ECO_Final_Asset_Purchase_Agreement.doc</w:t>
    </w:r>
    <w:r>
      <w:rPr>
        <w:sz w:val="12"/>
      </w:rPr>
      <w:fldChar w:fldCharType="end"/>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8" name="Frame18"/>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/mnt/main-storage/datasets/enron-docs/doc/ECO_Final_Asset_Purchase_Agreement.doc</w:t>
    </w:r>
    <w:r>
      <w:rPr>
        <w:sz w:val="12"/>
      </w:rPr>
      <w:fldChar w:fldCharType="end"/>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460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/mnt/main-storage/datasets/enron-docs/doc/ECO_Final_Asset_Purchase_Agreement.doc</w:t>
    </w:r>
    <w:r>
      <w:rPr>
        <w:sz w:val="12"/>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4" name="Frame4"/>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/mnt/main-storage/datasets/enron-docs/doc/ECO_Final_Asset_Purchase_Agreement.doc</w:t>
    </w:r>
    <w:r>
      <w:rPr>
        <w:sz w:val="12"/>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14605" cy="175260"/>
              <wp:effectExtent l="0" t="0" r="0" b="0"/>
              <wp:wrapSquare wrapText="bothSides"/>
              <wp:docPr id="5" name="Frame5"/>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/mnt/main-storage/datasets/enron-docs/doc/ECO_Final_Asset_Purchase_Agreement.doc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CG Times;Times New Roman" w:hAnsi="CG Times;Times New Roman" w:cs="CG Times;Times New Roman"/>
        <w:color w:val="000000"/>
      </w:rPr>
    </w:lvl>
    <w:lvl w:ilvl="1">
      <w:start w:val="1"/>
      <w:pStyle w:val="Heading2"/>
      <w:isLgl/>
      <w:numFmt w:val="decimal"/>
      <w:lvlText w:val="%1.%2   "/>
      <w:lvlJc w:val="start"/>
      <w:pPr>
        <w:tabs>
          <w:tab w:val="num" w:pos="1440"/>
        </w:tabs>
        <w:ind w:start="0" w:firstLine="720"/>
      </w:pPr>
      <w:rPr>
        <w:sz w:val="24"/>
        <w:i w:val="false"/>
        <w:u w:val="none"/>
        <w:b w:val="false"/>
        <w:rFonts w:ascii="Times New Roman" w:hAnsi="Times New Roman" w:cs="Times New Roman"/>
        <w:color w:val="000000"/>
      </w:rPr>
    </w:lvl>
    <w:lvl w:ilvl="2">
      <w:start w:val="1"/>
      <w:pStyle w:val="Heading3"/>
      <w:numFmt w:val="lowerLetter"/>
      <w:lvlText w:val="(%3)  "/>
      <w:lvlJc w:val="start"/>
      <w:pPr>
        <w:tabs>
          <w:tab w:val="num" w:pos="2160"/>
        </w:tabs>
        <w:ind w:start="0" w:firstLine="1440"/>
      </w:pPr>
      <w:rPr>
        <w:sz w:val="24"/>
        <w:i w:val="false"/>
        <w:u w:val="none"/>
        <w:b w:val="false"/>
        <w:rFonts w:ascii="Times New Roman" w:hAnsi="Times New Roman" w:cs="Times New Roman"/>
        <w:color w:val="000000"/>
      </w:rPr>
    </w:lvl>
    <w:lvl w:ilvl="3">
      <w:start w:val="1"/>
      <w:pStyle w:val="Heading4"/>
      <w:numFmt w:val="lowerRoman"/>
      <w:lvlText w:val="(%4) "/>
      <w:lvlJc w:val="start"/>
      <w:pPr>
        <w:tabs>
          <w:tab w:val="num" w:pos="2880"/>
        </w:tabs>
        <w:ind w:start="0" w:firstLine="2160"/>
      </w:pPr>
      <w:rPr>
        <w:sz w:val="24"/>
        <w:i w:val="false"/>
        <w:u w:val="none"/>
        <w:b w:val="false"/>
        <w:rFonts w:ascii="Times New Roman" w:hAnsi="Times New Roman" w:cs="Times New Roman"/>
        <w:color w:val="000000"/>
      </w:rPr>
    </w:lvl>
    <w:lvl w:ilvl="4">
      <w:start w:val="1"/>
      <w:pStyle w:val="Heading5"/>
      <w:numFmt w:val="upperLetter"/>
      <w:lvlText w:val="(%5)  "/>
      <w:lvlJc w:val="start"/>
      <w:pPr>
        <w:tabs>
          <w:tab w:val="num" w:pos="3600"/>
        </w:tabs>
        <w:ind w:start="0" w:firstLine="2880"/>
      </w:pPr>
      <w:rPr>
        <w:vertAlign w:val="baseline"/>
        <w:position w:val="0"/>
        <w:sz w:val="24"/>
        <w:sz w:val="24"/>
        <w:spacing w:val="0"/>
        <w:i w:val="false"/>
        <w:u w:val="none"/>
        <w:b w:val="false"/>
        <w:kern w:val="0"/>
        <w:w w:val="100"/>
        <w:rFonts w:ascii="Times New Roman" w:hAnsi="Times New Roman" w:cs="Times New Roman"/>
        <w:color w:val="000000"/>
      </w:rPr>
    </w:lvl>
    <w:lvl w:ilvl="5">
      <w:start w:val="1"/>
      <w:pStyle w:val="Heading6"/>
      <w:numFmt w:val="upperLetter"/>
      <w:suff w:val="space"/>
      <w:lvlText w:val="(%6)"/>
      <w:lvlJc w:val="start"/>
      <w:pPr>
        <w:tabs>
          <w:tab w:val="num" w:pos="0"/>
        </w:tabs>
        <w:ind w:start="0" w:hanging="0"/>
      </w:pPr>
      <w:rPr>
        <w:vertAlign w:val="baseline"/>
        <w:position w:val="0"/>
        <w:sz w:val="24"/>
        <w:sz w:val="24"/>
        <w:spacing w:val="0"/>
        <w:i w:val="false"/>
        <w:u w:val="none"/>
        <w:b/>
        <w:kern w:val="0"/>
        <w:w w:val="100"/>
        <w:rFonts w:ascii="Garamond" w:hAnsi="Garamond" w:cs="Garamond"/>
        <w:color w:val="000000"/>
      </w:rPr>
    </w:lvl>
    <w:lvl w:ilvl="6">
      <w:start w:val="1"/>
      <w:pStyle w:val="Heading7"/>
      <w:numFmt w:val="decimal"/>
      <w:lvlText w:val="(%7)    "/>
      <w:lvlJc w:val="start"/>
      <w:pPr>
        <w:tabs>
          <w:tab w:val="num" w:pos="1440"/>
        </w:tabs>
        <w:ind w:start="0" w:firstLine="720"/>
      </w:pPr>
      <w:rPr>
        <w:sz w:val="28"/>
        <w:i w:val="false"/>
        <w:u w:val="none"/>
        <w:b/>
        <w:rFonts w:ascii="Garamond" w:hAnsi="Garamond" w:cs="Garamond"/>
        <w:color w:val="000000"/>
      </w:rPr>
    </w:lvl>
    <w:lvl w:ilvl="7">
      <w:start w:val="1"/>
      <w:pStyle w:val="Heading8"/>
      <w:numFmt w:val="decimal"/>
      <w:lvlText w:val="%8)"/>
      <w:lvlJc w:val="start"/>
      <w:pPr>
        <w:tabs>
          <w:tab w:val="num" w:pos="2160"/>
        </w:tabs>
        <w:ind w:start="2160" w:hanging="720"/>
      </w:pPr>
      <w:rPr>
        <w:sz w:val="24"/>
        <w:i w:val="false"/>
        <w:u w:val="none"/>
        <w:b/>
        <w:rFonts w:ascii="Garamond" w:hAnsi="Garamond" w:cs="Garamond"/>
        <w:color w:val="000000"/>
      </w:rPr>
    </w:lvl>
    <w:lvl w:ilvl="8">
      <w:start w:val="1"/>
      <w:pStyle w:val="Heading9"/>
      <w:numFmt w:val="decimal"/>
      <w:suff w:val="space"/>
      <w:lvlText w:val="%9)"/>
      <w:lvlJc w:val="start"/>
      <w:pPr>
        <w:tabs>
          <w:tab w:val="num" w:pos="0"/>
        </w:tabs>
        <w:ind w:start="2880" w:hanging="720"/>
      </w:pPr>
      <w:rPr>
        <w:sz w:val="24"/>
        <w:i/>
        <w:u w:val="none"/>
        <w:b w:val="false"/>
        <w:rFonts w:ascii="Times New Roman" w:hAnsi="Times New Roman" w:cs="Times New Roman"/>
        <w:color w:val="000000"/>
      </w:rPr>
    </w:lvl>
  </w:abstractNum>
  <w:abstractNum w:abstractNumId="2">
    <w:lvl w:ilvl="0">
      <w:start w:val="1"/>
      <w:numFmt w:val="lowerRoman"/>
      <w:lvlText w:val="(%1)"/>
      <w:lvlJc w:val="end"/>
      <w:pPr>
        <w:tabs>
          <w:tab w:val="num" w:pos="1800"/>
        </w:tabs>
        <w:ind w:start="1800" w:hanging="360"/>
      </w:pPr>
    </w:lvl>
  </w:abstractNum>
  <w:abstractNum w:abstractNumId="3">
    <w:lvl w:ilvl="0">
      <w:start w:val="1"/>
      <w:numFmt w:val="upperLetter"/>
      <w:lvlText w:val="(%1)"/>
      <w:lvlJc w:val="start"/>
      <w:pPr>
        <w:tabs>
          <w:tab w:val="num" w:pos="360"/>
        </w:tabs>
        <w:ind w:start="360" w:hanging="360"/>
      </w:p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bullet"/>
      <w:lvlText w:val=""/>
      <w:lvlJc w:val="start"/>
      <w:pPr>
        <w:tabs>
          <w:tab w:val="num" w:pos="1800"/>
        </w:tabs>
        <w:ind w:start="1800" w:hanging="360"/>
      </w:pPr>
      <w:rPr>
        <w:rFonts w:ascii="Symbol" w:hAnsi="Symbol" w:cs="Symbol" w:hint="default"/>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upperRoman"/>
      <w:suff w:val="nothing"/>
      <w:lvlText w:val="Article %1"/>
      <w:lvlJc w:val="start"/>
      <w:pPr>
        <w:tabs>
          <w:tab w:val="num" w:pos="0"/>
        </w:tabs>
        <w:ind w:start="0" w:hanging="0"/>
      </w:pPr>
      <w:rPr>
        <w:caps/>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1">
      <w:start w:val="1"/>
      <w:isLgl/>
      <w:numFmt w:val="decimal"/>
      <w:lvlText w:val="%1.%2"/>
      <w:lvlJc w:val="start"/>
      <w:pPr>
        <w:tabs>
          <w:tab w:val="num" w:pos="1800"/>
        </w:tabs>
        <w:ind w:start="0" w:firstLine="1440"/>
      </w:pPr>
      <w:rPr>
        <w:sz w:val="24"/>
        <w:i w:val="false"/>
        <w:u w:val="none"/>
        <w:b w:val="false"/>
        <w:rFonts w:ascii="Times New Roman" w:hAnsi="Times New Roman" w:cs="Times New Roman"/>
        <w:color w:val="000000"/>
      </w:rPr>
    </w:lvl>
    <w:lvl w:ilvl="2">
      <w:start w:val="1"/>
      <w:numFmt w:val="lowerRoman"/>
      <w:lvlText w:val="(%3)"/>
      <w:lvlJc w:val="start"/>
      <w:pPr>
        <w:tabs>
          <w:tab w:val="num" w:pos="2880"/>
        </w:tabs>
        <w:ind w:start="0" w:firstLine="2160"/>
      </w:pPr>
      <w:rPr>
        <w:sz w:val="24"/>
        <w:i w:val="false"/>
        <w:b w:val="false"/>
        <w:rFonts w:ascii="Times New Roman" w:hAnsi="Times New Roman" w:cs="Times New Roman"/>
      </w:rPr>
    </w:lvl>
    <w:lvl w:ilvl="3">
      <w:start w:val="1"/>
      <w:numFmt w:val="lowerRoman"/>
      <w:lvlText w:val="(%4)"/>
      <w:lvlJc w:val="start"/>
      <w:pPr>
        <w:tabs>
          <w:tab w:val="num" w:pos="2880"/>
        </w:tabs>
        <w:ind w:start="2160" w:hanging="0"/>
      </w:pPr>
      <w:rPr>
        <w:sz w:val="24"/>
        <w:i w:val="false"/>
        <w:b w:val="false"/>
        <w:rFonts w:ascii="Times New Roman" w:hAnsi="Times New Roman" w:cs="Times New Roman"/>
      </w:rPr>
    </w:lvl>
    <w:lvl w:ilvl="4">
      <w:start w:val="1"/>
      <w:numFmt w:val="upperLetter"/>
      <w:lvlText w:val="(%5)"/>
      <w:lvlJc w:val="start"/>
      <w:pPr>
        <w:tabs>
          <w:tab w:val="num" w:pos="3240"/>
        </w:tabs>
        <w:ind w:start="2880" w:hanging="0"/>
      </w:pPr>
      <w:rPr>
        <w:sz w:val="24"/>
        <w:i w:val="false"/>
        <w:b w:val="false"/>
        <w:rFonts w:ascii="Times New Roman" w:hAnsi="Times New Roman" w:cs="Times New Roman"/>
      </w:rPr>
    </w:lvl>
    <w:lvl w:ilvl="5">
      <w:start w:val="1"/>
      <w:numFmt w:val="decimal"/>
      <w:lvlText w:val="(%6)"/>
      <w:lvlJc w:val="start"/>
      <w:pPr>
        <w:tabs>
          <w:tab w:val="num" w:pos="3960"/>
        </w:tabs>
        <w:ind w:start="3600" w:hanging="0"/>
      </w:pPr>
      <w:rPr>
        <w:sz w:val="24"/>
        <w:i w:val="false"/>
        <w:b w:val="false"/>
        <w:rFonts w:ascii="Times New Roman" w:hAnsi="Times New Roman" w:cs="Times New Roman"/>
      </w:rPr>
    </w:lvl>
    <w:lvl w:ilvl="6">
      <w:start w:val="1"/>
      <w:numFmt w:val="lowerLetter"/>
      <w:lvlText w:val="%7)"/>
      <w:lvlJc w:val="start"/>
      <w:pPr>
        <w:tabs>
          <w:tab w:val="num" w:pos="4536"/>
        </w:tabs>
        <w:ind w:start="4320" w:hanging="144"/>
      </w:pPr>
      <w:rPr>
        <w:i w:val="false"/>
        <w:b w:val="false"/>
      </w:rPr>
    </w:lvl>
    <w:lvl w:ilvl="7">
      <w:start w:val="1"/>
      <w:numFmt w:val="lowerRoman"/>
      <w:lvlText w:val="%8."/>
      <w:lvlJc w:val="start"/>
      <w:pPr>
        <w:tabs>
          <w:tab w:val="num" w:pos="5040"/>
        </w:tabs>
        <w:ind w:start="4320" w:hanging="0"/>
      </w:pPr>
      <w:rPr>
        <w:sz w:val="24"/>
        <w:i w:val="false"/>
        <w:b w:val="false"/>
        <w:rFonts w:ascii="Times New Roman" w:hAnsi="Times New Roman" w:cs="Times New Roman"/>
      </w:rPr>
    </w:lvl>
    <w:lvl w:ilvl="8">
      <w:start w:val="1"/>
      <w:numFmt w:val="bullet"/>
      <w:lvlText w:val=""/>
      <w:lvlJc w:val="start"/>
      <w:pPr>
        <w:tabs>
          <w:tab w:val="num" w:pos="5400"/>
        </w:tabs>
        <w:ind w:start="5040" w:hanging="0"/>
      </w:pPr>
      <w:rPr>
        <w:rFonts w:ascii="Symbol" w:hAnsi="Symbol" w:cs="Symbol" w:hint="default"/>
        <w:color w:val="auto"/>
      </w:rPr>
    </w:lvl>
  </w:abstractNum>
  <w:abstractNum w:abstractNumId="12">
    <w:lvl w:ilvl="0">
      <w:start w:val="1"/>
      <w:numFmt w:val="lowerLetter"/>
      <w:lvlText w:val="(%1)   "/>
      <w:lvlJc w:val="start"/>
      <w:pPr>
        <w:tabs>
          <w:tab w:val="num" w:pos="2520"/>
        </w:tabs>
        <w:ind w:start="720" w:firstLine="1080"/>
      </w:pPr>
    </w:lvl>
  </w:abstractNum>
  <w:abstractNum w:abstractNumId="13">
    <w:lvl w:ilvl="0">
      <w:start w:val="1"/>
      <w:numFmt w:val="decimal"/>
      <w:lvlText w:val="(%1)"/>
      <w:lvlJc w:val="start"/>
      <w:pPr>
        <w:tabs>
          <w:tab w:val="num" w:pos="2520"/>
        </w:tabs>
        <w:ind w:start="720" w:firstLine="1440"/>
      </w:pPr>
    </w:lvl>
  </w:abstractNum>
  <w:abstractNum w:abstractNumId="14">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lvlText w:val="%1."/>
      <w:lvlJc w:val="start"/>
      <w:pPr>
        <w:tabs>
          <w:tab w:val="num" w:pos="1080"/>
        </w:tabs>
        <w:ind w:start="0" w:firstLine="720"/>
      </w:pPr>
    </w:lvl>
  </w:abstractNum>
  <w:abstractNum w:abstractNumId="16">
    <w:lvl w:ilvl="0">
      <w:start w:val="1"/>
      <w:numFmt w:val="decimal"/>
      <w:lvlText w:val="%1."/>
      <w:lvlJc w:val="start"/>
      <w:pPr>
        <w:tabs>
          <w:tab w:val="num" w:pos="360"/>
        </w:tabs>
        <w:ind w:start="360" w:hanging="360"/>
      </w:pPr>
    </w:lvl>
  </w:abstractNum>
  <w:abstractNum w:abstractNumId="17">
    <w:lvl w:ilvl="0">
      <w:start w:val="1"/>
      <w:numFmt w:val="decimal"/>
      <w:lvlText w:val="%1.    "/>
      <w:lvlJc w:val="start"/>
      <w:pPr>
        <w:tabs>
          <w:tab w:val="num" w:pos="720"/>
        </w:tabs>
        <w:ind w:start="720" w:hanging="720"/>
      </w:pPr>
      <w:rPr>
        <w:sz w:val="24"/>
        <w:i w:val="false"/>
        <w:u w:val="none"/>
        <w:b w:val="false"/>
        <w:rFonts w:ascii="Times New Roman" w:hAnsi="Times New Roman" w:cs="Times New Roman"/>
      </w:rPr>
    </w:lvl>
  </w:abstractNum>
  <w:abstractNum w:abstractNumId="18">
    <w:lvl w:ilvl="0">
      <w:start w:val="1"/>
      <w:numFmt w:val="upperLetter"/>
      <w:lvlText w:val="(%1)"/>
      <w:lvlJc w:val="start"/>
      <w:pPr>
        <w:tabs>
          <w:tab w:val="num" w:pos="2880"/>
        </w:tabs>
        <w:ind w:start="0" w:firstLine="2520"/>
      </w:pPr>
      <w:rPr>
        <w:sz w:val="24"/>
        <w:i w:val="false"/>
        <w:u w:val="none"/>
        <w:b w:val="false"/>
        <w:rFonts w:ascii="Times New Roman" w:hAnsi="Times New Roman" w:cs="Times New Roman"/>
        <w:color w:val="000000"/>
      </w:rPr>
    </w:lvl>
  </w:abstractNum>
  <w:abstractNum w:abstractNumId="19">
    <w:lvl w:ilvl="0">
      <w:start w:val="1"/>
      <w:numFmt w:val="decimal"/>
      <w:suff w:val="nothing"/>
      <w:lvlText w:val="Article %1"/>
      <w:lvlJc w:val="start"/>
      <w:pPr>
        <w:tabs>
          <w:tab w:val="num" w:pos="0"/>
        </w:tabs>
        <w:ind w:start="0" w:hanging="0"/>
      </w:pPr>
      <w:rPr>
        <w:caps/>
        <w:sz w:val="24"/>
        <w:i w:val="false"/>
        <w:b/>
        <w:rFonts w:ascii="Times New Roman" w:hAnsi="Times New Roman" w:cs="Times New Roman"/>
      </w:rPr>
    </w:lvl>
    <w:lvl w:ilvl="1">
      <w:start w:val="1"/>
      <w:numFmt w:val="decimal"/>
      <w:lvlText w:val="Section %1.%2"/>
      <w:lvlJc w:val="start"/>
      <w:pPr>
        <w:tabs>
          <w:tab w:val="num" w:pos="1800"/>
        </w:tabs>
        <w:ind w:start="720" w:hanging="0"/>
      </w:pPr>
      <w:rPr>
        <w:sz w:val="24"/>
        <w:i w:val="false"/>
        <w:u w:val="none"/>
        <w:b w:val="false"/>
        <w:rFonts w:ascii="Times New Roman" w:hAnsi="Times New Roman" w:cs="Times New Roman"/>
      </w:rPr>
    </w:lvl>
    <w:lvl w:ilvl="2">
      <w:start w:val="1"/>
      <w:numFmt w:val="lowerLetter"/>
      <w:lvlText w:val="(%3)"/>
      <w:lvlJc w:val="start"/>
      <w:pPr>
        <w:tabs>
          <w:tab w:val="num" w:pos="1800"/>
        </w:tabs>
        <w:ind w:start="0" w:firstLine="1440"/>
      </w:pPr>
      <w:rPr>
        <w:sz w:val="24"/>
        <w:i w:val="false"/>
        <w:b w:val="false"/>
        <w:rFonts w:ascii="Times New Roman" w:hAnsi="Times New Roman" w:cs="Times New Roman"/>
      </w:rPr>
    </w:lvl>
    <w:lvl w:ilvl="3">
      <w:start w:val="1"/>
      <w:numFmt w:val="lowerRoman"/>
      <w:lvlText w:val="(%4)"/>
      <w:lvlJc w:val="start"/>
      <w:pPr>
        <w:tabs>
          <w:tab w:val="num" w:pos="2880"/>
        </w:tabs>
        <w:ind w:start="0" w:firstLine="2160"/>
      </w:pPr>
      <w:rPr>
        <w:sz w:val="24"/>
        <w:i w:val="false"/>
        <w:b w:val="false"/>
        <w:rFonts w:ascii="Times New Roman" w:hAnsi="Times New Roman" w:cs="Times New Roman"/>
      </w:rPr>
    </w:lvl>
    <w:lvl w:ilvl="4">
      <w:start w:val="1"/>
      <w:numFmt w:val="upperLetter"/>
      <w:lvlText w:val="(%5)"/>
      <w:lvlJc w:val="start"/>
      <w:pPr>
        <w:tabs>
          <w:tab w:val="num" w:pos="3240"/>
        </w:tabs>
        <w:ind w:start="2880" w:hanging="0"/>
      </w:pPr>
      <w:rPr>
        <w:sz w:val="24"/>
        <w:i w:val="false"/>
        <w:b w:val="false"/>
        <w:rFonts w:ascii="Times New Roman" w:hAnsi="Times New Roman" w:cs="Times New Roman"/>
      </w:rPr>
    </w:lvl>
    <w:lvl w:ilvl="5">
      <w:start w:val="1"/>
      <w:numFmt w:val="decimal"/>
      <w:lvlText w:val="(%6)"/>
      <w:lvlJc w:val="start"/>
      <w:pPr>
        <w:tabs>
          <w:tab w:val="num" w:pos="3960"/>
        </w:tabs>
        <w:ind w:start="3600" w:hanging="0"/>
      </w:pPr>
      <w:rPr>
        <w:sz w:val="24"/>
        <w:i w:val="false"/>
        <w:b w:val="false"/>
        <w:rFonts w:ascii="Times New Roman" w:hAnsi="Times New Roman" w:cs="Times New Roman"/>
      </w:rPr>
    </w:lvl>
    <w:lvl w:ilvl="6">
      <w:start w:val="1"/>
      <w:numFmt w:val="lowerLetter"/>
      <w:lvlText w:val="%7)"/>
      <w:lvlJc w:val="start"/>
      <w:pPr>
        <w:tabs>
          <w:tab w:val="num" w:pos="4536"/>
        </w:tabs>
        <w:ind w:start="4320" w:hanging="144"/>
      </w:pPr>
      <w:rPr>
        <w:i w:val="false"/>
        <w:b w:val="false"/>
      </w:rPr>
    </w:lvl>
    <w:lvl w:ilvl="7">
      <w:start w:val="1"/>
      <w:numFmt w:val="lowerRoman"/>
      <w:lvlText w:val="%8."/>
      <w:lvlJc w:val="start"/>
      <w:pPr>
        <w:tabs>
          <w:tab w:val="num" w:pos="5040"/>
        </w:tabs>
        <w:ind w:start="4320" w:hanging="0"/>
      </w:pPr>
      <w:rPr>
        <w:sz w:val="24"/>
        <w:i w:val="false"/>
        <w:b w:val="false"/>
        <w:rFonts w:ascii="Times New Roman" w:hAnsi="Times New Roman" w:cs="Times New Roman"/>
      </w:rPr>
    </w:lvl>
    <w:lvl w:ilvl="8">
      <w:start w:val="1"/>
      <w:numFmt w:val="bullet"/>
      <w:lvlText w:val=""/>
      <w:lvlJc w:val="start"/>
      <w:pPr>
        <w:tabs>
          <w:tab w:val="num" w:pos="5400"/>
        </w:tabs>
        <w:ind w:start="5040" w:hanging="0"/>
      </w:pPr>
      <w:rPr>
        <w:rFonts w:ascii="Symbol" w:hAnsi="Symbol" w:cs="Symbol" w:hint="default"/>
        <w:color w:val="auto"/>
      </w:rPr>
    </w:lvl>
  </w:abstractNum>
  <w:abstractNum w:abstractNumId="20">
    <w:lvl w:ilvl="0">
      <w:start w:val="1"/>
      <w:numFmt w:val="upperRoman"/>
      <w:suff w:val="nothing"/>
      <w:lvlText w:val="Article %1"/>
      <w:lvlJc w:val="start"/>
      <w:pPr>
        <w:tabs>
          <w:tab w:val="num" w:pos="0"/>
        </w:tabs>
        <w:ind w:start="0" w:hanging="0"/>
      </w:pPr>
      <w:rPr>
        <w:caps/>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1"/>
      <w:isLgl/>
      <w:numFmt w:val="decimal"/>
      <w:lvlText w:val="%1.%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Letter"/>
      <w:lvlText w:val="(%3)  "/>
      <w:lvlJc w:val="start"/>
      <w:pPr>
        <w:tabs>
          <w:tab w:val="num" w:pos="2160"/>
        </w:tabs>
        <w:ind w:start="0" w:firstLine="1440"/>
      </w:pPr>
      <w:rPr>
        <w:sz w:val="24"/>
        <w:i w:val="false"/>
        <w:b w:val="false"/>
        <w:rFonts w:ascii="Times New Roman" w:hAnsi="Times New Roman" w:cs="Times New Roman"/>
      </w:rPr>
    </w:lvl>
    <w:lvl w:ilvl="3">
      <w:start w:val="1"/>
      <w:numFmt w:val="lowerRoman"/>
      <w:lvlText w:val="(%4)"/>
      <w:lvlJc w:val="start"/>
      <w:pPr>
        <w:tabs>
          <w:tab w:val="num" w:pos="2880"/>
        </w:tabs>
        <w:ind w:start="2160" w:hanging="0"/>
      </w:pPr>
      <w:rPr>
        <w:sz w:val="24"/>
        <w:i w:val="false"/>
        <w:b w:val="false"/>
        <w:rFonts w:ascii="Times New Roman" w:hAnsi="Times New Roman" w:cs="Times New Roman"/>
      </w:rPr>
    </w:lvl>
    <w:lvl w:ilvl="4">
      <w:start w:val="1"/>
      <w:numFmt w:val="upperLetter"/>
      <w:lvlText w:val="(%5)"/>
      <w:lvlJc w:val="start"/>
      <w:pPr>
        <w:tabs>
          <w:tab w:val="num" w:pos="3240"/>
        </w:tabs>
        <w:ind w:start="2880" w:hanging="0"/>
      </w:pPr>
      <w:rPr>
        <w:sz w:val="24"/>
        <w:i w:val="false"/>
        <w:b w:val="false"/>
        <w:rFonts w:ascii="Times New Roman" w:hAnsi="Times New Roman" w:cs="Times New Roman"/>
      </w:rPr>
    </w:lvl>
    <w:lvl w:ilvl="5">
      <w:start w:val="1"/>
      <w:numFmt w:val="decimal"/>
      <w:lvlText w:val="(%6)"/>
      <w:lvlJc w:val="start"/>
      <w:pPr>
        <w:tabs>
          <w:tab w:val="num" w:pos="3960"/>
        </w:tabs>
        <w:ind w:start="3600" w:hanging="0"/>
      </w:pPr>
      <w:rPr>
        <w:sz w:val="24"/>
        <w:i w:val="false"/>
        <w:b w:val="false"/>
        <w:rFonts w:ascii="Times New Roman" w:hAnsi="Times New Roman" w:cs="Times New Roman"/>
      </w:rPr>
    </w:lvl>
    <w:lvl w:ilvl="6">
      <w:start w:val="1"/>
      <w:numFmt w:val="lowerLetter"/>
      <w:lvlText w:val="%7)"/>
      <w:lvlJc w:val="start"/>
      <w:pPr>
        <w:tabs>
          <w:tab w:val="num" w:pos="4536"/>
        </w:tabs>
        <w:ind w:start="4320" w:hanging="144"/>
      </w:pPr>
      <w:rPr>
        <w:i w:val="false"/>
        <w:b w:val="false"/>
      </w:rPr>
    </w:lvl>
    <w:lvl w:ilvl="7">
      <w:start w:val="1"/>
      <w:numFmt w:val="lowerRoman"/>
      <w:lvlText w:val="%8."/>
      <w:lvlJc w:val="start"/>
      <w:pPr>
        <w:tabs>
          <w:tab w:val="num" w:pos="5040"/>
        </w:tabs>
        <w:ind w:start="4320" w:hanging="0"/>
      </w:pPr>
      <w:rPr>
        <w:sz w:val="24"/>
        <w:i w:val="false"/>
        <w:b w:val="false"/>
        <w:rFonts w:ascii="Times New Roman" w:hAnsi="Times New Roman" w:cs="Times New Roman"/>
      </w:rPr>
    </w:lvl>
    <w:lvl w:ilvl="8">
      <w:start w:val="1"/>
      <w:numFmt w:val="bullet"/>
      <w:lvlText w:val=""/>
      <w:lvlJc w:val="start"/>
      <w:pPr>
        <w:tabs>
          <w:tab w:val="num" w:pos="5400"/>
        </w:tabs>
        <w:ind w:start="5040" w:hanging="0"/>
      </w:pPr>
      <w:rPr>
        <w:rFonts w:ascii="Symbol" w:hAnsi="Symbol" w:cs="Symbol" w:hint="default"/>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17"/>
    <w:lvlOverride w:ilvl="0">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num>
</w:numbering>
</file>

<file path=word/settings.xml><?xml version="1.0" encoding="utf-8"?>
<w:settings xmlns:w="http://schemas.openxmlformats.org/wordprocessingml/2006/main">
  <w:zoom w:percent="7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keepLines/>
      <w:numPr>
        <w:ilvl w:val="0"/>
        <w:numId w:val="1"/>
      </w:numPr>
      <w:spacing w:before="0" w:after="240"/>
      <w:jc w:val="center"/>
      <w:outlineLvl w:val="0"/>
    </w:pPr>
    <w:rPr>
      <w:b/>
      <w:caps/>
      <w:color w:val="000000"/>
    </w:rPr>
  </w:style>
  <w:style w:type="paragraph" w:styleId="Heading2">
    <w:name w:val="heading 2"/>
    <w:basedOn w:val="Normal"/>
    <w:next w:val="BodyText"/>
    <w:qFormat/>
    <w:pPr>
      <w:numPr>
        <w:ilvl w:val="1"/>
        <w:numId w:val="1"/>
      </w:numPr>
      <w:spacing w:before="0" w:after="240"/>
      <w:jc w:val="both"/>
      <w:outlineLvl w:val="1"/>
    </w:pPr>
    <w:rPr>
      <w:color w:val="000000"/>
    </w:rPr>
  </w:style>
  <w:style w:type="paragraph" w:styleId="Heading3">
    <w:name w:val="heading 3"/>
    <w:basedOn w:val="Heading2"/>
    <w:next w:val="BodyText"/>
    <w:qFormat/>
    <w:pPr>
      <w:numPr>
        <w:ilvl w:val="2"/>
        <w:numId w:val="1"/>
      </w:numPr>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tabs>
        <w:tab w:val="clear" w:pos="720"/>
        <w:tab w:val="left" w:pos="1440" w:leader="none"/>
      </w:tabs>
      <w:spacing w:before="0" w:after="240"/>
      <w:jc w:val="both"/>
      <w:outlineLvl w:val="5"/>
    </w:pPr>
    <w:rPr>
      <w:b/>
      <w:smallCaps/>
    </w:rPr>
  </w:style>
  <w:style w:type="paragraph" w:styleId="Heading7">
    <w:name w:val="heading 7"/>
    <w:basedOn w:val="Normal"/>
    <w:next w:val="BodyText"/>
    <w:qFormat/>
    <w:pPr>
      <w:numPr>
        <w:ilvl w:val="6"/>
        <w:numId w:val="1"/>
      </w:numPr>
      <w:spacing w:before="0" w:after="240"/>
      <w:outlineLvl w:val="6"/>
    </w:pPr>
    <w:rPr>
      <w:b/>
      <w:color w:val="000000"/>
      <w:sz w:val="28"/>
    </w:rPr>
  </w:style>
  <w:style w:type="paragraph" w:styleId="Heading8">
    <w:name w:val="heading 8"/>
    <w:basedOn w:val="Normal"/>
    <w:next w:val="BodyText"/>
    <w:qFormat/>
    <w:pPr>
      <w:numPr>
        <w:ilvl w:val="7"/>
        <w:numId w:val="1"/>
      </w:numPr>
      <w:spacing w:before="0" w:after="240"/>
      <w:outlineLvl w:val="7"/>
    </w:pPr>
    <w:rPr>
      <w:b/>
      <w:color w:val="000000"/>
    </w:rPr>
  </w:style>
  <w:style w:type="paragraph" w:styleId="Heading9">
    <w:name w:val="heading 9"/>
    <w:basedOn w:val="Normal"/>
    <w:next w:val="BodyText"/>
    <w:qFormat/>
    <w:pPr>
      <w:numPr>
        <w:ilvl w:val="8"/>
        <w:numId w:val="1"/>
      </w:numPr>
      <w:spacing w:before="0" w:after="240"/>
      <w:outlineLvl w:val="8"/>
    </w:pPr>
    <w:rPr>
      <w:i/>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12z1">
    <w:name w:val="WW8Num12z1"/>
    <w:qFormat/>
    <w:rPr>
      <w:rFonts w:ascii="Times New Roman" w:hAnsi="Times New Roman" w:cs="Times New Roman"/>
      <w:b w:val="false"/>
      <w:i w:val="false"/>
      <w:color w:val="000000"/>
      <w:sz w:val="24"/>
      <w:u w:val="none"/>
    </w:rPr>
  </w:style>
  <w:style w:type="character" w:styleId="WW8Num12z2">
    <w:name w:val="WW8Num12z2"/>
    <w:qFormat/>
    <w:rPr>
      <w:rFonts w:ascii="Times New Roman" w:hAnsi="Times New Roman" w:cs="Times New Roman"/>
      <w:b w:val="false"/>
      <w:i w:val="false"/>
      <w:sz w:val="24"/>
    </w:rPr>
  </w:style>
  <w:style w:type="character" w:styleId="WW8Num12z6">
    <w:name w:val="WW8Num12z6"/>
    <w:qFormat/>
    <w:rPr>
      <w:b w:val="false"/>
      <w:i w:val="false"/>
    </w:rPr>
  </w:style>
  <w:style w:type="character" w:styleId="WW8Num12z8">
    <w:name w:val="WW8Num12z8"/>
    <w:qFormat/>
    <w:rPr>
      <w:rFonts w:ascii="Symbol" w:hAnsi="Symbol" w:cs="Symbol"/>
      <w:color w:val="auto"/>
    </w:rPr>
  </w:style>
  <w:style w:type="character" w:styleId="WW8Num13z0">
    <w:name w:val="WW8Num13z0"/>
    <w:qFormat/>
    <w:rPr/>
  </w:style>
  <w:style w:type="character" w:styleId="WW8Num14z0">
    <w:name w:val="WW8Num14z0"/>
    <w:qFormat/>
    <w:rPr>
      <w:sz w:val="24"/>
    </w:rPr>
  </w:style>
  <w:style w:type="character" w:styleId="WW8Num19z0">
    <w:name w:val="WW8Num19z0"/>
    <w:qFormat/>
    <w:rPr>
      <w:color w:val="000000"/>
    </w:rPr>
  </w:style>
  <w:style w:type="character" w:styleId="WW8Num19z4">
    <w:name w:val="WW8Num19z4"/>
    <w:qFormat/>
    <w:rPr>
      <w:b w:val="false"/>
      <w:i/>
      <w:color w:val="000000"/>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5z0">
    <w:name w:val="WW8Num25z0"/>
    <w:qFormat/>
    <w:rPr/>
  </w:style>
  <w:style w:type="character" w:styleId="WW8Num26z0">
    <w:name w:val="WW8Num26z0"/>
    <w:qFormat/>
    <w:rPr>
      <w:rFonts w:ascii="Times New Roman" w:hAnsi="Times New Roman" w:cs="Times New Roman"/>
      <w:b w:val="false"/>
      <w:i w:val="false"/>
      <w:sz w:val="24"/>
      <w:u w:val="none"/>
    </w:rPr>
  </w:style>
  <w:style w:type="character" w:styleId="WW8Num27z0">
    <w:name w:val="WW8Num27z0"/>
    <w:qFormat/>
    <w:rPr/>
  </w:style>
  <w:style w:type="character" w:styleId="WW8Num28z0">
    <w:name w:val="WW8Num28z0"/>
    <w:qFormat/>
    <w:rPr>
      <w:rFonts w:ascii="Times New Roman" w:hAnsi="Times New Roman" w:cs="Times New Roman"/>
      <w:b w:val="false"/>
      <w:i w:val="false"/>
      <w:color w:val="000000"/>
      <w:sz w:val="24"/>
      <w:u w:val="none"/>
    </w:rPr>
  </w:style>
  <w:style w:type="character" w:styleId="WW8Num29z0">
    <w:name w:val="WW8Num29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29z1">
    <w:name w:val="WW8Num29z1"/>
    <w:qFormat/>
    <w:rPr>
      <w:rFonts w:ascii="Times New Roman" w:hAnsi="Times New Roman" w:cs="Times New Roman"/>
      <w:b w:val="false"/>
      <w:i w:val="false"/>
      <w:color w:val="000000"/>
      <w:sz w:val="24"/>
      <w:u w:val="none"/>
    </w:rPr>
  </w:style>
  <w:style w:type="character" w:styleId="WW8Num29z2">
    <w:name w:val="WW8Num29z2"/>
    <w:qFormat/>
    <w:rPr>
      <w:rFonts w:ascii="Times New Roman" w:hAnsi="Times New Roman" w:cs="Times New Roman"/>
      <w:b w:val="false"/>
      <w:i w:val="false"/>
      <w:sz w:val="24"/>
    </w:rPr>
  </w:style>
  <w:style w:type="character" w:styleId="WW8Num29z6">
    <w:name w:val="WW8Num29z6"/>
    <w:qFormat/>
    <w:rPr>
      <w:b w:val="false"/>
      <w:i w:val="false"/>
    </w:rPr>
  </w:style>
  <w:style w:type="character" w:styleId="WW8Num29z8">
    <w:name w:val="WW8Num29z8"/>
    <w:qFormat/>
    <w:rPr>
      <w:rFonts w:ascii="Symbol" w:hAnsi="Symbol" w:cs="Symbol"/>
      <w:color w:val="auto"/>
    </w:rPr>
  </w:style>
  <w:style w:type="character" w:styleId="WW8Num30z0">
    <w:name w:val="WW8Num30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30z1">
    <w:name w:val="WW8Num30z1"/>
    <w:qFormat/>
    <w:rPr>
      <w:rFonts w:ascii="Times New Roman" w:hAnsi="Times New Roman" w:cs="Times New Roman"/>
      <w:b w:val="false"/>
      <w:i w:val="false"/>
      <w:color w:val="000000"/>
      <w:sz w:val="24"/>
      <w:u w:val="none"/>
    </w:rPr>
  </w:style>
  <w:style w:type="character" w:styleId="WW8Num30z2">
    <w:name w:val="WW8Num30z2"/>
    <w:qFormat/>
    <w:rPr>
      <w:rFonts w:ascii="Times New Roman" w:hAnsi="Times New Roman" w:cs="Times New Roman"/>
      <w:b w:val="false"/>
      <w:i w:val="false"/>
      <w:sz w:val="24"/>
    </w:rPr>
  </w:style>
  <w:style w:type="character" w:styleId="WW8Num30z6">
    <w:name w:val="WW8Num30z6"/>
    <w:qFormat/>
    <w:rPr>
      <w:b w:val="false"/>
      <w:i w:val="false"/>
    </w:rPr>
  </w:style>
  <w:style w:type="character" w:styleId="WW8Num30z8">
    <w:name w:val="WW8Num30z8"/>
    <w:qFormat/>
    <w:rPr>
      <w:rFonts w:ascii="Symbol" w:hAnsi="Symbol" w:cs="Symbol"/>
      <w:color w:val="auto"/>
    </w:rPr>
  </w:style>
  <w:style w:type="character" w:styleId="WW8Num31z0">
    <w:name w:val="WW8Num31z0"/>
    <w:qFormat/>
    <w:rPr/>
  </w:style>
  <w:style w:type="character" w:styleId="WW8Num32z0">
    <w:name w:val="WW8Num32z0"/>
    <w:qFormat/>
    <w:rPr>
      <w:rFonts w:ascii="CG Times;Times New Roman" w:hAnsi="CG Times;Times New Roman" w:cs="CG Times;Times New Roman"/>
      <w:b/>
      <w:i w:val="false"/>
      <w:color w:val="000000"/>
      <w:sz w:val="24"/>
      <w:u w:val="none"/>
    </w:rPr>
  </w:style>
  <w:style w:type="character" w:styleId="WW8Num32z1">
    <w:name w:val="WW8Num32z1"/>
    <w:qFormat/>
    <w:rPr>
      <w:rFonts w:ascii="Times New Roman" w:hAnsi="Times New Roman" w:cs="Times New Roman"/>
      <w:b w:val="false"/>
      <w:i w:val="false"/>
      <w:color w:val="000000"/>
      <w:sz w:val="24"/>
      <w:u w:val="none"/>
    </w:rPr>
  </w:style>
  <w:style w:type="character" w:styleId="WW8Num32z4">
    <w:name w:val="WW8Num32z4"/>
    <w:qFormat/>
    <w:rPr>
      <w:rFonts w:ascii="Times New Roman" w:hAnsi="Times New Roman" w:cs="Times New Roman"/>
      <w:b w:val="false"/>
      <w:i w:val="false"/>
      <w:color w:val="000000"/>
      <w:spacing w:val="0"/>
      <w:w w:val="100"/>
      <w:kern w:val="0"/>
      <w:position w:val="0"/>
      <w:sz w:val="24"/>
      <w:sz w:val="24"/>
      <w:u w:val="none"/>
      <w:vertAlign w:val="baseline"/>
    </w:rPr>
  </w:style>
  <w:style w:type="character" w:styleId="WW8Num32z5">
    <w:name w:val="WW8Num32z5"/>
    <w:qFormat/>
    <w:rPr>
      <w:rFonts w:ascii="Garamond" w:hAnsi="Garamond" w:cs="Garamond"/>
      <w:b/>
      <w:i w:val="false"/>
      <w:color w:val="000000"/>
      <w:spacing w:val="0"/>
      <w:w w:val="100"/>
      <w:kern w:val="0"/>
      <w:position w:val="0"/>
      <w:sz w:val="24"/>
      <w:sz w:val="24"/>
      <w:u w:val="none"/>
      <w:vertAlign w:val="baseline"/>
    </w:rPr>
  </w:style>
  <w:style w:type="character" w:styleId="WW8Num32z6">
    <w:name w:val="WW8Num32z6"/>
    <w:qFormat/>
    <w:rPr>
      <w:rFonts w:ascii="Garamond" w:hAnsi="Garamond" w:cs="Garamond"/>
      <w:b/>
      <w:i w:val="false"/>
      <w:color w:val="000000"/>
      <w:sz w:val="28"/>
      <w:u w:val="none"/>
    </w:rPr>
  </w:style>
  <w:style w:type="character" w:styleId="WW8Num32z7">
    <w:name w:val="WW8Num32z7"/>
    <w:qFormat/>
    <w:rPr>
      <w:rFonts w:ascii="Garamond" w:hAnsi="Garamond" w:cs="Garamond"/>
      <w:b/>
      <w:i w:val="false"/>
      <w:color w:val="000000"/>
      <w:sz w:val="24"/>
      <w:u w:val="none"/>
    </w:rPr>
  </w:style>
  <w:style w:type="character" w:styleId="WW8Num32z8">
    <w:name w:val="WW8Num32z8"/>
    <w:qFormat/>
    <w:rPr>
      <w:rFonts w:ascii="Times New Roman" w:hAnsi="Times New Roman" w:cs="Times New Roman"/>
      <w:b w:val="false"/>
      <w:i/>
      <w:color w:val="000000"/>
      <w:sz w:val="24"/>
      <w:u w:val="none"/>
    </w:rPr>
  </w:style>
  <w:style w:type="character" w:styleId="WW8Num33z0">
    <w:name w:val="WW8Num33z0"/>
    <w:qFormat/>
    <w:rPr>
      <w:rFonts w:ascii="Times New Roman Bold" w:hAnsi="Times New Roman Bold" w:cs="Times New Roman Bold"/>
      <w:b/>
      <w:i w:val="false"/>
      <w:sz w:val="24"/>
      <w:u w:val="none"/>
    </w:rPr>
  </w:style>
  <w:style w:type="character" w:styleId="WW8Num33z1">
    <w:name w:val="WW8Num33z1"/>
    <w:qFormat/>
    <w:rPr>
      <w:u w:val="none"/>
    </w:rPr>
  </w:style>
  <w:style w:type="character" w:styleId="WW8Num34z0">
    <w:name w:val="WW8Num34z0"/>
    <w:qFormat/>
    <w:rPr>
      <w:rFonts w:ascii="Times New Roman" w:hAnsi="Times New Roman" w:cs="Times New Roman"/>
      <w:b/>
      <w:i w:val="false"/>
      <w:caps/>
      <w:sz w:val="24"/>
    </w:rPr>
  </w:style>
  <w:style w:type="character" w:styleId="WW8Num34z1">
    <w:name w:val="WW8Num34z1"/>
    <w:qFormat/>
    <w:rPr>
      <w:rFonts w:ascii="Times New Roman" w:hAnsi="Times New Roman" w:cs="Times New Roman"/>
      <w:b w:val="false"/>
      <w:i w:val="false"/>
      <w:sz w:val="24"/>
      <w:u w:val="none"/>
    </w:rPr>
  </w:style>
  <w:style w:type="character" w:styleId="WW8Num34z2">
    <w:name w:val="WW8Num34z2"/>
    <w:qFormat/>
    <w:rPr>
      <w:rFonts w:ascii="Times New Roman" w:hAnsi="Times New Roman" w:cs="Times New Roman"/>
      <w:b w:val="false"/>
      <w:i w:val="false"/>
      <w:sz w:val="24"/>
    </w:rPr>
  </w:style>
  <w:style w:type="character" w:styleId="WW8Num34z6">
    <w:name w:val="WW8Num34z6"/>
    <w:qFormat/>
    <w:rPr>
      <w:b w:val="false"/>
      <w:i w:val="false"/>
    </w:rPr>
  </w:style>
  <w:style w:type="character" w:styleId="WW8Num34z8">
    <w:name w:val="WW8Num34z8"/>
    <w:qFormat/>
    <w:rPr>
      <w:rFonts w:ascii="Symbol" w:hAnsi="Symbol" w:cs="Symbol"/>
      <w:color w:val="auto"/>
    </w:rPr>
  </w:style>
  <w:style w:type="character" w:styleId="WW8Num35z0">
    <w:name w:val="WW8Num35z0"/>
    <w:qFormat/>
    <w:rPr/>
  </w:style>
  <w:style w:type="character" w:styleId="WW8Num37z0">
    <w:name w:val="WW8Num37z0"/>
    <w:qFormat/>
    <w:rPr/>
  </w:style>
  <w:style w:type="character" w:styleId="WW8Num38z0">
    <w:name w:val="WW8Num38z0"/>
    <w:qFormat/>
    <w:rPr/>
  </w:style>
  <w:style w:type="character" w:styleId="WW8Num39z0">
    <w:name w:val="WW8Num39z0"/>
    <w:qFormat/>
    <w:rPr>
      <w:rFonts w:ascii="Times New Roman Bold" w:hAnsi="Times New Roman Bold" w:cs="Times New Roman Bold"/>
      <w:b/>
      <w:i w:val="false"/>
      <w:caps/>
      <w:strike w:val="false"/>
      <w:dstrike w:val="false"/>
      <w:outline w:val="false"/>
      <w:shadow w:val="false"/>
      <w:vanish w:val="false"/>
      <w:color w:val="auto"/>
      <w:position w:val="0"/>
      <w:sz w:val="24"/>
      <w:sz w:val="24"/>
      <w:u w:val="none"/>
      <w:vertAlign w:val="baseline"/>
    </w:rPr>
  </w:style>
  <w:style w:type="character" w:styleId="WW8Num39z1">
    <w:name w:val="WW8Num39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39z2">
    <w:name w:val="WW8Num39z2"/>
    <w:qFormat/>
    <w:rPr>
      <w:rFonts w:ascii="Times New Roman" w:hAnsi="Times New Roman" w:cs="Times New Roman"/>
      <w:b w:val="false"/>
      <w:i w:val="false"/>
      <w:sz w:val="24"/>
    </w:rPr>
  </w:style>
  <w:style w:type="character" w:styleId="WW8Num39z6">
    <w:name w:val="WW8Num39z6"/>
    <w:qFormat/>
    <w:rPr>
      <w:b w:val="false"/>
      <w:i w:val="false"/>
    </w:rPr>
  </w:style>
  <w:style w:type="character" w:styleId="WW8Num39z8">
    <w:name w:val="WW8Num39z8"/>
    <w:qFormat/>
    <w:rPr>
      <w:rFonts w:ascii="Symbol" w:hAnsi="Symbol" w:cs="Symbol"/>
      <w:color w:val="auto"/>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ParaNum">
    <w:name w:val="ParaNum"/>
    <w:basedOn w:val="DefaultParagraphFont"/>
    <w:qFormat/>
    <w:rPr/>
  </w:style>
  <w:style w:type="paragraph" w:styleId="Heading">
    <w:name w:val="Heading"/>
    <w:basedOn w:val="Normal"/>
    <w:next w:val="BodyText"/>
    <w:qFormat/>
    <w:pPr>
      <w:keepNext w:val="true"/>
      <w:keepLines/>
      <w:suppressAutoHyphens w:val="true"/>
      <w:spacing w:before="240" w:after="240"/>
      <w:jc w:val="center"/>
      <w:outlineLvl w:val="0"/>
    </w:pPr>
    <w:rPr>
      <w:b/>
    </w:rPr>
  </w:style>
  <w:style w:type="paragraph" w:styleId="BodyText">
    <w:name w:val="Body Text"/>
    <w:basedOn w:val="Normal"/>
    <w:pPr>
      <w:spacing w:before="0" w:after="240"/>
      <w:ind w:firstLine="1440" w:start="0" w:end="0"/>
      <w:jc w:val="both"/>
    </w:pPr>
    <w:rPr/>
  </w:style>
  <w:style w:type="paragraph" w:styleId="List">
    <w:name w:val="List"/>
    <w:basedOn w:val="Normal"/>
    <w:pPr>
      <w:numPr>
        <w:ilvl w:val="0"/>
        <w:numId w:val="17"/>
      </w:numPr>
      <w:spacing w:before="0" w:after="240"/>
      <w:jc w:val="both"/>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before="0" w:after="240"/>
      <w:ind w:hanging="0" w:start="4680" w:end="0"/>
    </w:pPr>
    <w:rPr/>
  </w:style>
  <w:style w:type="paragraph" w:styleId="ClosingFirmName">
    <w:name w:val="Closing Firm Name"/>
    <w:basedOn w:val="Closing"/>
    <w:next w:val="Signature"/>
    <w:qFormat/>
    <w:pPr>
      <w:keepNext w:val="true"/>
      <w:keepLines/>
    </w:pPr>
    <w:rPr/>
  </w:style>
  <w:style w:type="paragraph" w:styleId="Signature">
    <w:name w:val="Signature"/>
    <w:basedOn w:val="Normal"/>
    <w:next w:val="ByLine"/>
    <w:pPr>
      <w:keepNext w:val="true"/>
      <w:keepLines/>
      <w:ind w:hanging="0" w:start="4680" w:end="0"/>
    </w:pPr>
    <w:rPr/>
  </w:style>
  <w:style w:type="paragraph" w:styleId="ByLine">
    <w:name w:val="By Line"/>
    <w:basedOn w:val="Signature"/>
    <w:next w:val="SignatureName"/>
    <w:qFormat/>
    <w:pPr>
      <w:tabs>
        <w:tab w:val="clear" w:pos="720"/>
        <w:tab w:val="left" w:pos="5040" w:leader="none"/>
        <w:tab w:val="right" w:pos="9360" w:leader="underscore"/>
      </w:tabs>
      <w:spacing w:before="720" w:after="0"/>
    </w:pPr>
    <w:rPr/>
  </w:style>
  <w:style w:type="paragraph" w:styleId="SignatureName">
    <w:name w:val="Signature Name"/>
    <w:basedOn w:val="Signature"/>
    <w:next w:val="ItsLine"/>
    <w:qFormat/>
    <w:pPr>
      <w:tabs>
        <w:tab w:val="clear" w:pos="720"/>
        <w:tab w:val="left" w:pos="5040" w:leader="none"/>
        <w:tab w:val="left" w:pos="9360" w:leader="none"/>
      </w:tabs>
      <w:spacing w:before="0" w:after="240"/>
      <w:ind w:hanging="0" w:start="5040" w:end="0"/>
    </w:pPr>
    <w:rPr/>
  </w:style>
  <w:style w:type="paragraph" w:styleId="ItsLine">
    <w:name w:val="Its Line"/>
    <w:basedOn w:val="Signature"/>
    <w:next w:val="CorporateSignatureTitle"/>
    <w:qFormat/>
    <w:pPr>
      <w:tabs>
        <w:tab w:val="clear" w:pos="720"/>
        <w:tab w:val="left" w:pos="5328" w:leader="none"/>
        <w:tab w:val="right" w:pos="9360" w:leader="underscore"/>
      </w:tabs>
      <w:ind w:hanging="0" w:start="5040" w:end="0"/>
    </w:pPr>
    <w:rPr/>
  </w:style>
  <w:style w:type="paragraph" w:styleId="CorporateSignatureTitle">
    <w:name w:val="Corporate Signature Title"/>
    <w:basedOn w:val="Signature"/>
    <w:next w:val="Signature"/>
    <w:qFormat/>
    <w:pPr>
      <w:ind w:hanging="0" w:start="5328"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exact" w:line="240"/>
    </w:pPr>
    <w:rPr>
      <w:rFonts w:ascii="Times New Roman" w:hAnsi="Times New Roman" w:eastAsia="Times New Roman" w:cs="Times New Roman"/>
      <w:color w:val="auto"/>
      <w:sz w:val="20"/>
      <w:szCs w:val="20"/>
      <w:lang w:val="en-US" w:bidi="ar-SA" w:eastAsia="zh-CN"/>
    </w:rPr>
  </w:style>
  <w:style w:type="paragraph" w:styleId="BlockText2">
    <w:name w:val="Block Text 2"/>
    <w:basedOn w:val="Normal"/>
    <w:qFormat/>
    <w:pPr>
      <w:spacing w:before="0" w:after="240"/>
      <w:ind w:hanging="720" w:start="2160" w:end="1440"/>
      <w:jc w:val="both"/>
    </w:pPr>
    <w:rPr/>
  </w:style>
  <w:style w:type="paragraph" w:styleId="CenteredHeading">
    <w:name w:val="Centered Heading"/>
    <w:basedOn w:val="Normal"/>
    <w:next w:val="BodyText"/>
    <w:qFormat/>
    <w:pPr>
      <w:keepNext w:val="true"/>
      <w:keepLines/>
      <w:spacing w:before="0" w:after="360"/>
      <w:jc w:val="center"/>
      <w:outlineLvl w:val="0"/>
    </w:pPr>
    <w:rPr>
      <w:b/>
      <w:u w:val="single"/>
    </w:rPr>
  </w:style>
  <w:style w:type="paragraph" w:styleId="ClosingFirmName1">
    <w:name w:val="ClosingFirmName"/>
    <w:basedOn w:val="Signature"/>
    <w:qFormat/>
    <w:pPr>
      <w:spacing w:before="0" w:after="960"/>
    </w:pPr>
    <w:rPr/>
  </w:style>
  <w:style w:type="paragraph" w:styleId="BodyTextFirstIndent">
    <w:name w:val="Body Text First Indent"/>
    <w:basedOn w:val="BodyText"/>
    <w:qFormat/>
    <w:pPr/>
    <w:rPr/>
  </w:style>
  <w:style w:type="paragraph" w:styleId="EnvelopeReturn">
    <w:name w:val="envelope return"/>
    <w:basedOn w:val="Normal"/>
    <w:pPr/>
    <w:rPr/>
  </w:style>
  <w:style w:type="paragraph" w:styleId="FootnoteText">
    <w:name w:val="footnote text"/>
    <w:basedOn w:val="Normal"/>
    <w:pPr>
      <w:tabs>
        <w:tab w:val="clear" w:pos="720"/>
        <w:tab w:val="left" w:pos="1080" w:leader="none"/>
      </w:tabs>
      <w:ind w:firstLine="720" w:start="0" w:end="0"/>
    </w:pPr>
    <w:rPr/>
  </w:style>
  <w:style w:type="paragraph" w:styleId="ListNumber4">
    <w:name w:val="List Number 4"/>
    <w:basedOn w:val="Normal"/>
    <w:qFormat/>
    <w:pPr>
      <w:tabs>
        <w:tab w:val="clear" w:pos="720"/>
        <w:tab w:val="left" w:pos="2160" w:leader="none"/>
      </w:tabs>
      <w:spacing w:before="0" w:after="240"/>
      <w:ind w:hanging="720" w:start="2160" w:end="0"/>
    </w:pPr>
    <w:rPr/>
  </w:style>
  <w:style w:type="paragraph" w:styleId="LeftHeading">
    <w:name w:val="Left Heading"/>
    <w:basedOn w:val="Normal"/>
    <w:next w:val="BodyText"/>
    <w:qFormat/>
    <w:pPr>
      <w:spacing w:before="0" w:after="240"/>
      <w:outlineLvl w:val="0"/>
    </w:pPr>
    <w:rPr>
      <w:u w:val="single"/>
    </w:rPr>
  </w:style>
  <w:style w:type="paragraph" w:styleId="BlockText">
    <w:name w:val="Block Text"/>
    <w:basedOn w:val="Normal"/>
    <w:qFormat/>
    <w:pPr>
      <w:spacing w:before="0" w:after="240"/>
      <w:ind w:hanging="0" w:start="1440" w:end="1440"/>
    </w:pPr>
    <w:rPr/>
  </w:style>
  <w:style w:type="paragraph" w:styleId="NormalIndent">
    <w:name w:val="Normal Indent"/>
    <w:basedOn w:val="Normal"/>
    <w:qFormat/>
    <w:pPr>
      <w:ind w:hanging="0" w:start="720" w:end="0"/>
    </w:pPr>
    <w:rPr/>
  </w:style>
  <w:style w:type="paragraph" w:styleId="TOAHeading">
    <w:name w:val="TOA Heading"/>
    <w:basedOn w:val="Normal"/>
    <w:next w:val="Normal"/>
    <w:qFormat/>
    <w:pPr>
      <w:spacing w:before="0" w:after="240"/>
      <w:outlineLvl w:val="0"/>
    </w:pPr>
    <w:rPr>
      <w:b/>
    </w:rPr>
  </w:style>
  <w:style w:type="paragraph" w:styleId="Subject">
    <w:name w:val="Subject"/>
    <w:basedOn w:val="Normal"/>
    <w:next w:val="Salutation"/>
    <w:qFormat/>
    <w:pPr>
      <w:spacing w:before="240" w:after="240"/>
      <w:ind w:hanging="720" w:start="2160" w:end="0"/>
    </w:pPr>
    <w:rPr/>
  </w:style>
  <w:style w:type="paragraph" w:styleId="Salutation">
    <w:name w:val="Salutation"/>
    <w:basedOn w:val="Normal"/>
    <w:next w:val="BodyText"/>
    <w:qFormat/>
    <w:pPr>
      <w:spacing w:before="0" w:after="240"/>
    </w:pPr>
    <w:rPr/>
  </w:style>
  <w:style w:type="paragraph" w:styleId="BodyText2">
    <w:name w:val="Body Text 2"/>
    <w:basedOn w:val="BodyText"/>
    <w:next w:val="BodyText"/>
    <w:qFormat/>
    <w:pPr>
      <w:ind w:hanging="0" w:start="0" w:end="0"/>
    </w:pPr>
    <w:rPr/>
  </w:style>
  <w:style w:type="paragraph" w:styleId="TOC1">
    <w:name w:val="toc 1"/>
    <w:basedOn w:val="Normal"/>
    <w:next w:val="Normal"/>
    <w:pPr>
      <w:spacing w:before="0" w:after="240"/>
      <w:ind w:hanging="0" w:start="0" w:end="720"/>
    </w:pPr>
    <w:rPr/>
  </w:style>
  <w:style w:type="paragraph" w:styleId="TOC2">
    <w:name w:val="toc 2"/>
    <w:basedOn w:val="Normal"/>
    <w:next w:val="Normal"/>
    <w:pPr>
      <w:tabs>
        <w:tab w:val="left" w:pos="720" w:leader="none"/>
        <w:tab w:val="left" w:pos="1440" w:leader="none"/>
        <w:tab w:val="right" w:pos="9350" w:leader="dot"/>
      </w:tabs>
      <w:spacing w:before="0" w:after="240"/>
      <w:ind w:hanging="0" w:start="720" w:end="720"/>
    </w:pPr>
    <w:rPr>
      <w:lang w:val="en-CA" w:eastAsia="en-CA"/>
    </w:rPr>
  </w:style>
  <w:style w:type="paragraph" w:styleId="TOC3">
    <w:name w:val="toc 3"/>
    <w:basedOn w:val="Normal"/>
    <w:next w:val="Normal"/>
    <w:pPr>
      <w:tabs>
        <w:tab w:val="clear" w:pos="720"/>
        <w:tab w:val="left" w:pos="2160" w:leader="none"/>
        <w:tab w:val="right" w:pos="9350" w:leader="dot"/>
      </w:tabs>
      <w:spacing w:before="0" w:after="240"/>
      <w:ind w:hanging="0" w:start="1440" w:end="720"/>
    </w:pPr>
    <w:rPr>
      <w:lang w:val="en-CA" w:eastAsia="en-CA"/>
    </w:rPr>
  </w:style>
  <w:style w:type="paragraph" w:styleId="TOC4">
    <w:name w:val="toc 4"/>
    <w:basedOn w:val="Normal"/>
    <w:next w:val="Normal"/>
    <w:pPr>
      <w:tabs>
        <w:tab w:val="clear" w:pos="720"/>
        <w:tab w:val="left" w:pos="2880" w:leader="none"/>
        <w:tab w:val="right" w:pos="9350" w:leader="dot"/>
      </w:tabs>
      <w:spacing w:before="0" w:after="240"/>
      <w:ind w:hanging="0" w:start="2160" w:end="720"/>
    </w:pPr>
    <w:rPr>
      <w:color w:val="000000"/>
      <w:lang w:val="en-CA" w:eastAsia="en-CA"/>
    </w:rPr>
  </w:style>
  <w:style w:type="paragraph" w:styleId="TOC5">
    <w:name w:val="toc 5"/>
    <w:basedOn w:val="Normal"/>
    <w:next w:val="Normal"/>
    <w:pPr>
      <w:tabs>
        <w:tab w:val="clear" w:pos="720"/>
        <w:tab w:val="left" w:pos="3600" w:leader="none"/>
        <w:tab w:val="right" w:pos="9350" w:leader="dot"/>
      </w:tabs>
      <w:spacing w:before="0" w:after="240"/>
      <w:ind w:hanging="0" w:start="2880" w:end="720"/>
    </w:pPr>
    <w:rPr>
      <w:color w:val="000000"/>
      <w:lang w:val="en-CA" w:eastAsia="en-CA"/>
    </w:rPr>
  </w:style>
  <w:style w:type="paragraph" w:styleId="TOC6">
    <w:name w:val="toc 6"/>
    <w:basedOn w:val="Normal"/>
    <w:next w:val="Normal"/>
    <w:pPr>
      <w:tabs>
        <w:tab w:val="clear" w:pos="720"/>
        <w:tab w:val="left" w:pos="4320" w:leader="none"/>
        <w:tab w:val="right" w:pos="9350" w:leader="dot"/>
      </w:tabs>
      <w:spacing w:before="0" w:after="240"/>
      <w:ind w:hanging="0" w:start="3600" w:end="720"/>
    </w:pPr>
    <w:rPr>
      <w:color w:val="000000"/>
      <w:lang w:val="en-CA" w:eastAsia="en-CA"/>
    </w:rPr>
  </w:style>
  <w:style w:type="paragraph" w:styleId="TOC7">
    <w:name w:val="toc 7"/>
    <w:basedOn w:val="Normal"/>
    <w:next w:val="Normal"/>
    <w:pPr>
      <w:tabs>
        <w:tab w:val="clear" w:pos="720"/>
        <w:tab w:val="left" w:pos="5040" w:leader="none"/>
        <w:tab w:val="right" w:pos="9350" w:leader="dot"/>
      </w:tabs>
      <w:ind w:hanging="0" w:start="4320" w:end="720"/>
    </w:pPr>
    <w:rPr>
      <w:lang w:val="en-CA" w:eastAsia="en-CA"/>
    </w:rPr>
  </w:style>
  <w:style w:type="paragraph" w:styleId="TOC8">
    <w:name w:val="toc 8"/>
    <w:basedOn w:val="Normal"/>
    <w:next w:val="Normal"/>
    <w:pPr>
      <w:ind w:hanging="0" w:start="5040" w:end="720"/>
    </w:pPr>
    <w:rPr/>
  </w:style>
  <w:style w:type="paragraph" w:styleId="FooterID">
    <w:name w:val="Footer ID"/>
    <w:basedOn w:val="Footer"/>
    <w:qFormat/>
    <w:pPr>
      <w:ind w:hanging="0" w:start="-720" w:end="0"/>
    </w:pPr>
    <w:rPr>
      <w:smallCaps/>
      <w:sz w:val="12"/>
    </w:rPr>
  </w:style>
  <w:style w:type="paragraph" w:styleId="Discovery">
    <w:name w:val="Discovery"/>
    <w:basedOn w:val="Normal"/>
    <w:next w:val="BodyText"/>
    <w:qFormat/>
    <w:pPr>
      <w:spacing w:lineRule="exact" w:line="480"/>
    </w:pPr>
    <w:rPr>
      <w:b/>
      <w:caps/>
    </w:rPr>
  </w:style>
  <w:style w:type="paragraph" w:styleId="TOC9">
    <w:name w:val="toc 9"/>
    <w:basedOn w:val="Normal"/>
    <w:next w:val="Normal"/>
    <w:pPr>
      <w:ind w:hanging="0" w:start="1920" w:end="0"/>
    </w:pPr>
    <w:rPr/>
  </w:style>
  <w:style w:type="paragraph" w:styleId="WPComment">
    <w:name w:val="WPComment"/>
    <w:basedOn w:val="Normal"/>
    <w:qFormat/>
    <w:pPr>
      <w:spacing w:before="120" w:after="120"/>
    </w:pPr>
    <w:rPr>
      <w:vanish/>
      <w:color w:val="FF0000"/>
    </w:rPr>
  </w:style>
  <w:style w:type="paragraph" w:styleId="Address">
    <w:name w:val="Address"/>
    <w:basedOn w:val="Normal"/>
    <w:next w:val="Subject"/>
    <w:qFormat/>
    <w:pPr>
      <w:spacing w:before="0" w:after="240"/>
    </w:pPr>
    <w:rPr/>
  </w:style>
  <w:style w:type="paragraph" w:styleId="bcc">
    <w:name w:val="bcc"/>
    <w:basedOn w:val="Normal"/>
    <w:qFormat/>
    <w:pPr>
      <w:pageBreakBefore/>
    </w:pPr>
    <w:rPr/>
  </w:style>
  <w:style w:type="paragraph" w:styleId="Date">
    <w:name w:val="Date"/>
    <w:basedOn w:val="Normal"/>
    <w:next w:val="Normal"/>
    <w:qFormat/>
    <w:pPr>
      <w:spacing w:before="0" w:after="480"/>
      <w:jc w:val="center"/>
    </w:pPr>
    <w:rPr/>
  </w:style>
  <w:style w:type="paragraph" w:styleId="BodyTextIndent2">
    <w:name w:val="Body Text Indent 2"/>
    <w:basedOn w:val="BodyText"/>
    <w:qFormat/>
    <w:pPr>
      <w:ind w:hanging="0" w:start="2088" w:end="0"/>
    </w:pPr>
    <w:rPr/>
  </w:style>
  <w:style w:type="paragraph" w:styleId="BodyTextFirstIndent2">
    <w:name w:val="Body Text First Indent 2"/>
    <w:basedOn w:val="BodyText"/>
    <w:qFormat/>
    <w:pPr>
      <w:ind w:firstLine="1440" w:start="720" w:end="0"/>
    </w:pPr>
    <w:rPr/>
  </w:style>
  <w:style w:type="paragraph" w:styleId="BodyTextIndent">
    <w:name w:val="Body Text Indent"/>
    <w:basedOn w:val="BodyText"/>
    <w:pPr>
      <w:ind w:hanging="0" w:start="720" w:end="0"/>
    </w:pPr>
    <w:rPr/>
  </w:style>
  <w:style w:type="paragraph" w:styleId="BodyTextIndent3">
    <w:name w:val="Body Text Indent 3"/>
    <w:basedOn w:val="Normal"/>
    <w:qFormat/>
    <w:pPr>
      <w:spacing w:before="0" w:after="120"/>
      <w:ind w:hanging="0" w:start="360" w:end="0"/>
    </w:pPr>
    <w:rPr>
      <w:sz w:val="16"/>
    </w:rPr>
  </w:style>
  <w:style w:type="paragraph" w:styleId="ListNumber">
    <w:name w:val="List Number"/>
    <w:basedOn w:val="Normal"/>
    <w:qFormat/>
    <w:pPr>
      <w:numPr>
        <w:ilvl w:val="0"/>
        <w:numId w:val="9"/>
      </w:numPr>
      <w:tabs>
        <w:tab w:val="clear" w:pos="720"/>
        <w:tab w:val="left" w:pos="2160" w:leader="none"/>
      </w:tabs>
      <w:spacing w:before="0" w:after="240"/>
      <w:ind w:firstLine="1440" w:start="0" w:end="0"/>
    </w:pPr>
    <w:rPr/>
  </w:style>
  <w:style w:type="paragraph" w:styleId="ListNumber2">
    <w:name w:val="List Number 2"/>
    <w:basedOn w:val="Normal"/>
    <w:qFormat/>
    <w:pPr>
      <w:numPr>
        <w:ilvl w:val="0"/>
        <w:numId w:val="4"/>
      </w:numPr>
      <w:tabs>
        <w:tab w:val="clear" w:pos="720"/>
        <w:tab w:val="left" w:pos="2160" w:leader="none"/>
      </w:tabs>
      <w:spacing w:before="0" w:after="240"/>
      <w:ind w:hanging="720" w:start="2160" w:end="0"/>
    </w:pPr>
    <w:rPr/>
  </w:style>
  <w:style w:type="paragraph" w:styleId="ListNumber3">
    <w:name w:val="List Number 3"/>
    <w:basedOn w:val="Normal"/>
    <w:qFormat/>
    <w:pPr>
      <w:numPr>
        <w:ilvl w:val="0"/>
        <w:numId w:val="3"/>
      </w:numPr>
      <w:spacing w:before="0" w:after="240"/>
      <w:ind w:hanging="288" w:start="288" w:end="0"/>
    </w:pPr>
    <w:rPr>
      <w:rFonts w:ascii="Times New Roman Bold" w:hAnsi="Times New Roman Bold" w:cs="Times New Roman Bold"/>
      <w:b/>
      <w:smallCaps/>
    </w:rPr>
  </w:style>
  <w:style w:type="paragraph" w:styleId="ListNumber5">
    <w:name w:val="List Number 5"/>
    <w:basedOn w:val="Normal"/>
    <w:qFormat/>
    <w:pPr>
      <w:numPr>
        <w:ilvl w:val="0"/>
        <w:numId w:val="2"/>
      </w:numPr>
      <w:tabs>
        <w:tab w:val="clear" w:pos="720"/>
        <w:tab w:val="left" w:pos="2880" w:leader="none"/>
      </w:tabs>
      <w:spacing w:before="0" w:after="240"/>
      <w:ind w:hanging="446" w:start="2880" w:end="0"/>
    </w:pPr>
    <w:rPr/>
  </w:style>
  <w:style w:type="paragraph" w:styleId="Subtitle">
    <w:name w:val="Subtitle"/>
    <w:basedOn w:val="Normal"/>
    <w:next w:val="BodyText"/>
    <w:qFormat/>
    <w:pPr>
      <w:keepNext w:val="true"/>
      <w:keepLines/>
      <w:spacing w:before="240" w:after="240"/>
      <w:jc w:val="center"/>
      <w:outlineLvl w:val="1"/>
    </w:pPr>
    <w:rPr>
      <w:caps/>
    </w:rPr>
  </w:style>
  <w:style w:type="paragraph" w:styleId="ListBullet">
    <w:name w:val="List Bullet"/>
    <w:basedOn w:val="Normal"/>
    <w:qFormat/>
    <w:pPr>
      <w:numPr>
        <w:ilvl w:val="0"/>
        <w:numId w:val="10"/>
      </w:numPr>
      <w:spacing w:before="0" w:after="240"/>
    </w:pPr>
    <w:rPr/>
  </w:style>
  <w:style w:type="paragraph" w:styleId="ListBullet21">
    <w:name w:val="List Bullet 21"/>
    <w:basedOn w:val="Normal"/>
    <w:qFormat/>
    <w:pPr>
      <w:numPr>
        <w:ilvl w:val="0"/>
        <w:numId w:val="8"/>
      </w:numPr>
      <w:spacing w:before="0" w:after="240"/>
      <w:ind w:hanging="0" w:start="1080" w:end="0"/>
    </w:pPr>
    <w:rPr/>
  </w:style>
  <w:style w:type="paragraph" w:styleId="ListBullet3">
    <w:name w:val="List Bullet 3"/>
    <w:basedOn w:val="Normal"/>
    <w:qFormat/>
    <w:pPr>
      <w:numPr>
        <w:ilvl w:val="0"/>
        <w:numId w:val="7"/>
      </w:numPr>
      <w:spacing w:before="0" w:after="240"/>
    </w:pPr>
    <w:rPr/>
  </w:style>
  <w:style w:type="paragraph" w:styleId="ListBullet4">
    <w:name w:val="List Bullet 4"/>
    <w:basedOn w:val="Normal"/>
    <w:qFormat/>
    <w:pPr>
      <w:numPr>
        <w:ilvl w:val="0"/>
        <w:numId w:val="6"/>
      </w:numPr>
      <w:spacing w:before="0" w:after="240"/>
    </w:pPr>
    <w:rPr/>
  </w:style>
  <w:style w:type="paragraph" w:styleId="ListBullet5">
    <w:name w:val="List Bullet 5"/>
    <w:basedOn w:val="Normal"/>
    <w:qFormat/>
    <w:pPr>
      <w:numPr>
        <w:ilvl w:val="0"/>
        <w:numId w:val="5"/>
      </w:numPr>
      <w:spacing w:before="0" w:after="240"/>
    </w:pPr>
    <w:rPr/>
  </w:style>
  <w:style w:type="paragraph" w:styleId="ListContinue">
    <w:name w:val="List Continue"/>
    <w:basedOn w:val="Normal"/>
    <w:qFormat/>
    <w:pPr>
      <w:spacing w:before="0" w:after="240"/>
      <w:ind w:hanging="0" w:start="360" w:end="0"/>
    </w:pPr>
    <w:rPr/>
  </w:style>
  <w:style w:type="paragraph" w:styleId="ListContinue2">
    <w:name w:val="List Continue 2"/>
    <w:basedOn w:val="Normal"/>
    <w:qFormat/>
    <w:pPr>
      <w:spacing w:before="0" w:after="240"/>
      <w:ind w:hanging="0" w:start="720" w:end="0"/>
    </w:pPr>
    <w:rPr/>
  </w:style>
  <w:style w:type="paragraph" w:styleId="ListContinue3">
    <w:name w:val="List Continue 3"/>
    <w:basedOn w:val="Normal"/>
    <w:qFormat/>
    <w:pPr>
      <w:spacing w:before="0" w:after="240"/>
      <w:ind w:hanging="0" w:start="1080" w:end="0"/>
    </w:pPr>
    <w:rPr/>
  </w:style>
  <w:style w:type="paragraph" w:styleId="ListContinue4">
    <w:name w:val="List Continue 4"/>
    <w:basedOn w:val="Normal"/>
    <w:qFormat/>
    <w:pPr>
      <w:spacing w:before="0" w:after="240"/>
      <w:ind w:hanging="0" w:start="1440" w:end="0"/>
    </w:pPr>
    <w:rPr/>
  </w:style>
  <w:style w:type="paragraph" w:styleId="ListContinue5">
    <w:name w:val="List Continue 5"/>
    <w:basedOn w:val="Normal"/>
    <w:qFormat/>
    <w:pPr>
      <w:spacing w:before="0" w:after="240"/>
      <w:ind w:hanging="0" w:start="1800" w:end="0"/>
    </w:pPr>
    <w:rPr/>
  </w:style>
  <w:style w:type="paragraph" w:styleId="ListNumberContinued">
    <w:name w:val="List Number Continued"/>
    <w:basedOn w:val="Normal"/>
    <w:qFormat/>
    <w:pPr>
      <w:spacing w:before="0" w:after="240"/>
      <w:ind w:hanging="0" w:start="2160" w:end="0"/>
    </w:pPr>
    <w:rPr/>
  </w:style>
  <w:style w:type="paragraph" w:styleId="ListRomanContinued">
    <w:name w:val="List Roman Continued"/>
    <w:basedOn w:val="ListContinue5"/>
    <w:qFormat/>
    <w:pPr>
      <w:ind w:hanging="0" w:start="2880" w:end="0"/>
    </w:pPr>
    <w:rPr/>
  </w:style>
  <w:style w:type="paragraph" w:styleId="DocumentMap">
    <w:name w:val="Document Map"/>
    <w:basedOn w:val="Normal"/>
    <w:qFormat/>
    <w:pPr>
      <w:shd w:fill="000080" w:val="clear"/>
    </w:pPr>
    <w:rPr>
      <w:rFonts w:ascii="Tahoma" w:hAnsi="Tahoma" w:cs="Tahoma"/>
    </w:rPr>
  </w:style>
  <w:style w:type="paragraph" w:styleId="TableSignatureLine">
    <w:name w:val="Table Signature Line"/>
    <w:basedOn w:val="Normal"/>
    <w:qFormat/>
    <w:pPr>
      <w:tabs>
        <w:tab w:val="clear" w:pos="720"/>
        <w:tab w:val="right" w:pos="4680" w:leader="underscore"/>
      </w:tabs>
    </w:pPr>
    <w:rPr/>
  </w:style>
  <w:style w:type="paragraph" w:styleId="SignatureLine">
    <w:name w:val="Signature Line"/>
    <w:basedOn w:val="Signature"/>
    <w:qFormat/>
    <w:pPr>
      <w:tabs>
        <w:tab w:val="clear" w:pos="720"/>
        <w:tab w:val="right" w:pos="9360" w:leader="underscore"/>
      </w:tabs>
      <w:spacing w:before="720" w:after="0"/>
    </w:pPr>
    <w:rPr/>
  </w:style>
  <w:style w:type="paragraph" w:styleId="TableSignature">
    <w:name w:val="Table Signature"/>
    <w:basedOn w:val="Normal"/>
    <w:next w:val="TableByLine"/>
    <w:qFormat/>
    <w:pPr>
      <w:keepNext w:val="true"/>
      <w:keepLines/>
    </w:pPr>
    <w:rPr/>
  </w:style>
  <w:style w:type="paragraph" w:styleId="TableByLine">
    <w:name w:val="Table By Line"/>
    <w:basedOn w:val="TableSignature"/>
    <w:next w:val="TableSignatureName"/>
    <w:qFormat/>
    <w:pPr>
      <w:tabs>
        <w:tab w:val="clear" w:pos="720"/>
        <w:tab w:val="left" w:pos="360" w:leader="none"/>
        <w:tab w:val="right" w:pos="4435" w:leader="underscore"/>
      </w:tabs>
      <w:spacing w:before="720" w:after="0"/>
    </w:pPr>
    <w:rPr/>
  </w:style>
  <w:style w:type="paragraph" w:styleId="TableSignatureName">
    <w:name w:val="Table Signature Name"/>
    <w:basedOn w:val="TableSignature"/>
    <w:next w:val="TableItsLine"/>
    <w:qFormat/>
    <w:pPr>
      <w:ind w:hanging="0" w:start="360" w:end="0"/>
    </w:pPr>
    <w:rPr/>
  </w:style>
  <w:style w:type="paragraph" w:styleId="TableItsLine">
    <w:name w:val="Table Its Line"/>
    <w:basedOn w:val="TableSignature"/>
    <w:next w:val="TableCorporateSignatureTitle"/>
    <w:qFormat/>
    <w:pPr>
      <w:tabs>
        <w:tab w:val="clear" w:pos="720"/>
        <w:tab w:val="left" w:pos="648" w:leader="none"/>
        <w:tab w:val="right" w:pos="4435" w:leader="underscore"/>
      </w:tabs>
      <w:ind w:hanging="0" w:start="360" w:end="0"/>
    </w:pPr>
    <w:rPr/>
  </w:style>
  <w:style w:type="paragraph" w:styleId="TableCorporateSignatureTitle">
    <w:name w:val="Table Corporate Signature Title"/>
    <w:basedOn w:val="TableSignature"/>
    <w:next w:val="TableSignature"/>
    <w:qFormat/>
    <w:pPr>
      <w:ind w:hanging="0" w:start="648" w:end="0"/>
    </w:pPr>
    <w:rPr/>
  </w:style>
  <w:style w:type="paragraph" w:styleId="BodyNumHang">
    <w:name w:val="BodyNumHang"/>
    <w:basedOn w:val="BodyText"/>
    <w:qFormat/>
    <w:pPr>
      <w:widowControl w:val="false"/>
      <w:numPr>
        <w:ilvl w:val="0"/>
        <w:numId w:val="16"/>
      </w:numPr>
    </w:pPr>
    <w:rPr/>
  </w:style>
  <w:style w:type="paragraph" w:styleId="BodyLettersHang">
    <w:name w:val="BodyLettersHang"/>
    <w:basedOn w:val="BodyNumHang"/>
    <w:qFormat/>
    <w:pPr>
      <w:numPr>
        <w:ilvl w:val="0"/>
        <w:numId w:val="14"/>
      </w:numPr>
    </w:pPr>
    <w:rPr/>
  </w:style>
  <w:style w:type="paragraph" w:styleId="BodyLettersInd">
    <w:name w:val="BodyLettersInd"/>
    <w:basedOn w:val="Normal"/>
    <w:qFormat/>
    <w:pPr>
      <w:numPr>
        <w:ilvl w:val="0"/>
        <w:numId w:val="12"/>
      </w:numPr>
      <w:spacing w:before="0" w:after="120"/>
      <w:jc w:val="both"/>
    </w:pPr>
    <w:rPr/>
  </w:style>
  <w:style w:type="paragraph" w:styleId="BodyNumInd">
    <w:name w:val="BodyNumInd"/>
    <w:basedOn w:val="BodyText"/>
    <w:qFormat/>
    <w:pPr>
      <w:widowControl w:val="false"/>
      <w:numPr>
        <w:ilvl w:val="0"/>
        <w:numId w:val="15"/>
      </w:numPr>
    </w:pPr>
    <w:rPr/>
  </w:style>
  <w:style w:type="paragraph" w:styleId="BodyTextNoInd">
    <w:name w:val="BodyTextNoInd"/>
    <w:basedOn w:val="Normal"/>
    <w:qFormat/>
    <w:pPr>
      <w:spacing w:before="0" w:after="240"/>
    </w:pPr>
    <w:rPr/>
  </w:style>
  <w:style w:type="paragraph" w:styleId="Aa">
    <w:name w:val="A (a)"/>
    <w:basedOn w:val="Normal"/>
    <w:qFormat/>
    <w:pPr>
      <w:numPr>
        <w:ilvl w:val="0"/>
        <w:numId w:val="11"/>
      </w:numPr>
      <w:spacing w:before="0" w:after="240"/>
      <w:jc w:val="both"/>
    </w:pPr>
    <w:rPr/>
  </w:style>
  <w:style w:type="paragraph" w:styleId="Ai">
    <w:name w:val="A (i)"/>
    <w:basedOn w:val="Aa"/>
    <w:qFormat/>
    <w:pPr>
      <w:numPr>
        <w:ilvl w:val="0"/>
        <w:numId w:val="0"/>
      </w:numPr>
      <w:suppressAutoHyphens w:val="true"/>
      <w:ind w:hanging="0" w:start="0" w:end="0"/>
    </w:pPr>
    <w:rPr>
      <w:color w:val="000000"/>
    </w:rPr>
  </w:style>
  <w:style w:type="paragraph" w:styleId="ABodyText">
    <w:name w:val="A Body Text"/>
    <w:basedOn w:val="BodyText"/>
    <w:qFormat/>
    <w:pPr>
      <w:jc w:val="both"/>
    </w:pPr>
    <w:rPr/>
  </w:style>
  <w:style w:type="paragraph" w:styleId="AFrontPage">
    <w:name w:val="A Front Page"/>
    <w:basedOn w:val="Normal"/>
    <w:qFormat/>
    <w:pPr>
      <w:spacing w:before="0" w:after="480"/>
      <w:jc w:val="center"/>
    </w:pPr>
    <w:rPr>
      <w:rFonts w:ascii="Times New Roman Bold" w:hAnsi="Times New Roman Bold" w:cs="Times New Roman Bold"/>
      <w:b/>
      <w:color w:val="000000"/>
    </w:rPr>
  </w:style>
  <w:style w:type="paragraph" w:styleId="AHeading1">
    <w:name w:val="A Heading 1"/>
    <w:basedOn w:val="Heading1"/>
    <w:next w:val="BodyText"/>
    <w:qFormat/>
    <w:pPr>
      <w:widowControl w:val="false"/>
      <w:numPr>
        <w:ilvl w:val="0"/>
        <w:numId w:val="20"/>
      </w:numPr>
      <w:spacing w:before="360" w:after="240"/>
      <w:jc w:val="center"/>
      <w:outlineLvl w:val="9"/>
    </w:pPr>
    <w:rPr>
      <w:rFonts w:ascii="Times New Roman Bold" w:hAnsi="Times New Roman Bold" w:cs="Times New Roman Bold"/>
      <w:caps w:val="false"/>
      <w:smallCaps w:val="false"/>
      <w:color w:val="auto"/>
    </w:rPr>
  </w:style>
  <w:style w:type="paragraph" w:styleId="AHeading2">
    <w:name w:val="A Heading 2"/>
    <w:basedOn w:val="Normal"/>
    <w:qFormat/>
    <w:pPr>
      <w:numPr>
        <w:ilvl w:val="0"/>
        <w:numId w:val="20"/>
      </w:numPr>
      <w:tabs>
        <w:tab w:val="clear" w:pos="720"/>
      </w:tabs>
      <w:spacing w:before="0" w:after="240"/>
      <w:jc w:val="both"/>
      <w:outlineLvl w:val="1"/>
    </w:pPr>
    <w:rPr>
      <w:rFonts w:ascii="CG Times (W1)" w:hAnsi="CG Times (W1)" w:cs="CG Times (W1)"/>
    </w:rPr>
  </w:style>
  <w:style w:type="paragraph" w:styleId="AHeading3">
    <w:name w:val="A Heading 3"/>
    <w:basedOn w:val="Normal"/>
    <w:qFormat/>
    <w:pPr>
      <w:numPr>
        <w:ilvl w:val="0"/>
        <w:numId w:val="20"/>
      </w:numPr>
      <w:spacing w:before="240" w:after="0"/>
      <w:jc w:val="both"/>
      <w:outlineLvl w:val="2"/>
    </w:pPr>
    <w:rPr/>
  </w:style>
  <w:style w:type="paragraph" w:styleId="AHeading4">
    <w:name w:val="A Heading 4"/>
    <w:basedOn w:val="Ai"/>
    <w:qFormat/>
    <w:pPr>
      <w:numPr>
        <w:ilvl w:val="0"/>
        <w:numId w:val="19"/>
      </w:numPr>
    </w:pPr>
    <w:rPr/>
  </w:style>
  <w:style w:type="paragraph" w:styleId="ANumbered1">
    <w:name w:val="A Numbered (1)"/>
    <w:basedOn w:val="Normal"/>
    <w:qFormat/>
    <w:pPr>
      <w:numPr>
        <w:ilvl w:val="0"/>
        <w:numId w:val="13"/>
      </w:numPr>
      <w:suppressAutoHyphens w:val="true"/>
      <w:spacing w:before="0" w:after="240"/>
      <w:jc w:val="both"/>
    </w:pPr>
    <w:rPr>
      <w:color w:val="000000"/>
    </w:rPr>
  </w:style>
  <w:style w:type="paragraph" w:styleId="BodyTextCentered">
    <w:name w:val="Body Text Centered"/>
    <w:basedOn w:val="BodyText"/>
    <w:qFormat/>
    <w:pPr>
      <w:ind w:hanging="0" w:start="0" w:end="0"/>
      <w:jc w:val="center"/>
    </w:pPr>
    <w:rPr>
      <w:rFonts w:ascii="CG Times (W1)" w:hAnsi="CG Times (W1)" w:cs="CG Times (W1)"/>
    </w:rPr>
  </w:style>
  <w:style w:type="paragraph" w:styleId="recital">
    <w:name w:val="recital"/>
    <w:basedOn w:val="AFrontPage"/>
    <w:qFormat/>
    <w:pPr>
      <w:spacing w:before="360" w:after="240"/>
    </w:pPr>
    <w:rPr>
      <w:rFonts w:ascii="CG Times (W1)" w:hAnsi="CG Times (W1)" w:cs="CG Times (W1)"/>
      <w:b w:val="false"/>
    </w:rPr>
  </w:style>
  <w:style w:type="paragraph" w:styleId="BodyTextInd">
    <w:name w:val="BodyTextInd"/>
    <w:basedOn w:val="BodyText"/>
    <w:qFormat/>
    <w:pPr>
      <w:ind w:hanging="0" w:start="1440" w:end="0"/>
    </w:pPr>
    <w:rPr/>
  </w:style>
  <w:style w:type="paragraph" w:styleId="ALittlea">
    <w:name w:val="A Little (a)"/>
    <w:basedOn w:val="Normal"/>
    <w:qFormat/>
    <w:pPr>
      <w:numPr>
        <w:ilvl w:val="0"/>
        <w:numId w:val="14"/>
      </w:numPr>
      <w:suppressAutoHyphens w:val="true"/>
      <w:spacing w:before="0" w:after="240"/>
      <w:jc w:val="both"/>
    </w:pPr>
    <w:rPr/>
  </w:style>
  <w:style w:type="paragraph" w:styleId="center16ptbold">
    <w:name w:val="center 16 pt bold"/>
    <w:basedOn w:val="Heading1"/>
    <w:qFormat/>
    <w:pPr>
      <w:numPr>
        <w:ilvl w:val="0"/>
        <w:numId w:val="0"/>
      </w:numPr>
      <w:ind w:hanging="0" w:start="0" w:end="0"/>
      <w:outlineLvl w:val="9"/>
    </w:pPr>
    <w:rPr>
      <w:caps w:val="false"/>
      <w:smallCaps w:val="false"/>
      <w:sz w:val="32"/>
    </w:rPr>
  </w:style>
  <w:style w:type="paragraph" w:styleId="titleitalicscenter">
    <w:name w:val="title italics center"/>
    <w:basedOn w:val="Heading"/>
    <w:qFormat/>
    <w:pPr/>
    <w:rPr>
      <w:rFonts w:ascii="Times New Roman Bold" w:hAnsi="Times New Roman Bold" w:cs="Times New Roman Bold"/>
      <w:i/>
      <w:sz w:val="28"/>
    </w:rPr>
  </w:style>
  <w:style w:type="paragraph" w:styleId="head3italicsbold14pt">
    <w:name w:val="head 3 italics bold 14 pt"/>
    <w:basedOn w:val="Heading3"/>
    <w:qFormat/>
    <w:pPr>
      <w:numPr>
        <w:ilvl w:val="0"/>
        <w:numId w:val="0"/>
      </w:numPr>
      <w:ind w:hanging="0" w:start="288" w:end="0"/>
      <w:outlineLvl w:val="9"/>
    </w:pPr>
    <w:rPr>
      <w:i/>
      <w:smallCaps/>
    </w:rPr>
  </w:style>
  <w:style w:type="paragraph" w:styleId="ListBullet2">
    <w:name w:val="List Bullet 2"/>
    <w:basedOn w:val="Normal"/>
    <w:pPr>
      <w:numPr>
        <w:ilvl w:val="0"/>
        <w:numId w:val="18"/>
      </w:numPr>
      <w:spacing w:before="0" w:after="2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oleObject" Target="embeddings/oleObject1.bin"/><Relationship Id="rId31" Type="http://schemas.openxmlformats.org/officeDocument/2006/relationships/image" Target="media/image1.wmf"/><Relationship Id="rId32" Type="http://schemas.openxmlformats.org/officeDocument/2006/relationships/header" Target="header15.xml"/><Relationship Id="rId33" Type="http://schemas.openxmlformats.org/officeDocument/2006/relationships/header" Target="header16.xml"/><Relationship Id="rId34" Type="http://schemas.openxmlformats.org/officeDocument/2006/relationships/footer" Target="footer15.xml"/><Relationship Id="rId35" Type="http://schemas.openxmlformats.org/officeDocument/2006/relationships/footer" Target="footer16.xml"/><Relationship Id="rId36" Type="http://schemas.openxmlformats.org/officeDocument/2006/relationships/header" Target="header17.xml"/><Relationship Id="rId37" Type="http://schemas.openxmlformats.org/officeDocument/2006/relationships/header" Target="header18.xml"/><Relationship Id="rId38" Type="http://schemas.openxmlformats.org/officeDocument/2006/relationships/footer" Target="footer17.xml"/><Relationship Id="rId39" Type="http://schemas.openxmlformats.org/officeDocument/2006/relationships/footer" Target="footer18.xml"/><Relationship Id="rId40" Type="http://schemas.openxmlformats.org/officeDocument/2006/relationships/header" Target="header19.xml"/><Relationship Id="rId41" Type="http://schemas.openxmlformats.org/officeDocument/2006/relationships/header" Target="header20.xml"/><Relationship Id="rId42" Type="http://schemas.openxmlformats.org/officeDocument/2006/relationships/footer" Target="footer19.xml"/><Relationship Id="rId43" Type="http://schemas.openxmlformats.org/officeDocument/2006/relationships/footer" Target="footer20.xml"/><Relationship Id="rId44" Type="http://schemas.openxmlformats.org/officeDocument/2006/relationships/header" Target="header21.xml"/><Relationship Id="rId45" Type="http://schemas.openxmlformats.org/officeDocument/2006/relationships/header" Target="header22.xml"/><Relationship Id="rId46" Type="http://schemas.openxmlformats.org/officeDocument/2006/relationships/footer" Target="footer21.xml"/><Relationship Id="rId47" Type="http://schemas.openxmlformats.org/officeDocument/2006/relationships/footer" Target="footer22.xml"/><Relationship Id="rId48" Type="http://schemas.openxmlformats.org/officeDocument/2006/relationships/header" Target="header23.xml"/><Relationship Id="rId49" Type="http://schemas.openxmlformats.org/officeDocument/2006/relationships/header" Target="header24.xml"/><Relationship Id="rId50" Type="http://schemas.openxmlformats.org/officeDocument/2006/relationships/footer" Target="footer23.xml"/><Relationship Id="rId51" Type="http://schemas.openxmlformats.org/officeDocument/2006/relationships/footer" Target="footer24.xml"/><Relationship Id="rId52" Type="http://schemas.openxmlformats.org/officeDocument/2006/relationships/header" Target="header25.xml"/><Relationship Id="rId53" Type="http://schemas.openxmlformats.org/officeDocument/2006/relationships/header" Target="header26.xml"/><Relationship Id="rId54" Type="http://schemas.openxmlformats.org/officeDocument/2006/relationships/footer" Target="footer25.xml"/><Relationship Id="rId55" Type="http://schemas.openxmlformats.org/officeDocument/2006/relationships/footer" Target="footer26.xml"/><Relationship Id="rId56" Type="http://schemas.openxmlformats.org/officeDocument/2006/relationships/header" Target="header27.xml"/><Relationship Id="rId57" Type="http://schemas.openxmlformats.org/officeDocument/2006/relationships/header" Target="header28.xml"/><Relationship Id="rId58" Type="http://schemas.openxmlformats.org/officeDocument/2006/relationships/footer" Target="footer27.xml"/><Relationship Id="rId59" Type="http://schemas.openxmlformats.org/officeDocument/2006/relationships/footer" Target="footer28.xml"/><Relationship Id="rId60" Type="http://schemas.openxmlformats.org/officeDocument/2006/relationships/header" Target="header29.xml"/><Relationship Id="rId61" Type="http://schemas.openxmlformats.org/officeDocument/2006/relationships/header" Target="header30.xml"/><Relationship Id="rId62" Type="http://schemas.openxmlformats.org/officeDocument/2006/relationships/footer" Target="footer29.xml"/><Relationship Id="rId63" Type="http://schemas.openxmlformats.org/officeDocument/2006/relationships/footer" Target="footer30.xml"/><Relationship Id="rId64" Type="http://schemas.openxmlformats.org/officeDocument/2006/relationships/header" Target="header31.xml"/><Relationship Id="rId65" Type="http://schemas.openxmlformats.org/officeDocument/2006/relationships/header" Target="header32.xml"/><Relationship Id="rId66" Type="http://schemas.openxmlformats.org/officeDocument/2006/relationships/footer" Target="footer31.xml"/><Relationship Id="rId67" Type="http://schemas.openxmlformats.org/officeDocument/2006/relationships/footer" Target="footer32.xml"/><Relationship Id="rId68" Type="http://schemas.openxmlformats.org/officeDocument/2006/relationships/header" Target="header33.xml"/><Relationship Id="rId69" Type="http://schemas.openxmlformats.org/officeDocument/2006/relationships/header" Target="header34.xml"/><Relationship Id="rId70" Type="http://schemas.openxmlformats.org/officeDocument/2006/relationships/footer" Target="footer33.xml"/><Relationship Id="rId71" Type="http://schemas.openxmlformats.org/officeDocument/2006/relationships/footer" Target="footer34.xml"/><Relationship Id="rId72" Type="http://schemas.openxmlformats.org/officeDocument/2006/relationships/header" Target="header35.xml"/><Relationship Id="rId73" Type="http://schemas.openxmlformats.org/officeDocument/2006/relationships/header" Target="header36.xml"/><Relationship Id="rId74" Type="http://schemas.openxmlformats.org/officeDocument/2006/relationships/footer" Target="footer35.xml"/><Relationship Id="rId75" Type="http://schemas.openxmlformats.org/officeDocument/2006/relationships/footer" Target="footer36.xml"/><Relationship Id="rId76" Type="http://schemas.openxmlformats.org/officeDocument/2006/relationships/numbering" Target="numbering.xml"/><Relationship Id="rId77" Type="http://schemas.openxmlformats.org/officeDocument/2006/relationships/fontTable" Target="fontTable.xml"/><Relationship Id="rId78" Type="http://schemas.openxmlformats.org/officeDocument/2006/relationships/settings" Target="settings.xml"/><Relationship Id="rId7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BPH Plain.dot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2001-02-16T19:06:00Z</dcterms:created>
  <dc:creator>tyanows</dc:creator>
  <dc:description/>
  <dc:language>en-CA</dc:language>
  <cp:lastModifiedBy>tyanows</cp:lastModifiedBy>
  <cp:lastPrinted>2001-02-16T08:25:00Z</cp:lastPrinted>
  <dcterms:modified xsi:type="dcterms:W3CDTF">2001-02-16T19:06:00Z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
  </property>
  <property fmtid="{D5CDD505-2E9C-101B-9397-08002B2CF9AE}" pid="6" name="Client No.">
    <vt:lpwstr/>
  </property>
  <property fmtid="{D5CDD505-2E9C-101B-9397-08002B2CF9AE}" pid="7" name="Date">
    <vt:lpwstr> </vt:lpwstr>
  </property>
  <property fmtid="{D5CDD505-2E9C-101B-9397-08002B2CF9AE}" pid="8" name="Doc Name">
    <vt:lpwstr> </vt:lpwstr>
  </property>
  <property fmtid="{D5CDD505-2E9C-101B-9397-08002B2CF9AE}" pid="9" name="Doc No.">
    <vt:lpwstr/>
  </property>
  <property fmtid="{D5CDD505-2E9C-101B-9397-08002B2CF9AE}" pid="10" name="Doc Path">
    <vt:lpwstr/>
  </property>
  <property fmtid="{D5CDD505-2E9C-101B-9397-08002B2CF9AE}" pid="11" name="DocumentType">
    <vt:lpwstr>   </vt:lpwstr>
  </property>
  <property fmtid="{D5CDD505-2E9C-101B-9397-08002B2CF9AE}" pid="12" name="FooterStore">
    <vt:lpwstr> </vt:lpwstr>
  </property>
  <property fmtid="{D5CDD505-2E9C-101B-9397-08002B2CF9AE}" pid="13" name="Local Office">
    <vt:lpwstr> </vt:lpwstr>
  </property>
  <property fmtid="{D5CDD505-2E9C-101B-9397-08002B2CF9AE}" pid="14" name="Matter Name">
    <vt:lpwstr/>
  </property>
  <property fmtid="{D5CDD505-2E9C-101B-9397-08002B2CF9AE}" pid="15" name="Matter No.">
    <vt:lpwstr/>
  </property>
  <property fmtid="{D5CDD505-2E9C-101B-9397-08002B2CF9AE}" pid="16" name="Orig Doc Path">
    <vt:lpwstr/>
  </property>
  <property fmtid="{D5CDD505-2E9C-101B-9397-08002B2CF9AE}" pid="17" name="Parties">
    <vt:lpwstr> </vt:lpwstr>
  </property>
  <property fmtid="{D5CDD505-2E9C-101B-9397-08002B2CF9AE}" pid="18" name="Signer(s)">
    <vt:lpwstr> </vt:lpwstr>
  </property>
</Properties>
</file>