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auto" w:val="clear"/>
        <w:tabs>
          <w:tab w:val="clear" w:pos="720"/>
          <w:tab w:val="left" w:pos="-1800" w:leader="none"/>
        </w:tabs>
        <w:ind w:end="-1800"/>
        <w:jc w:val="both"/>
        <w:rPr>
          <w:b/>
          <w:bCs/>
          <w:sz w:val="16"/>
          <w:szCs w:val="16"/>
        </w:rPr>
      </w:pPr>
      <w:r>
        <w:rPr>
          <w:rFonts w:eastAsia="CG Omega" w:cs="CG Omega" w:ascii="CG Omega" w:hAnsi="CG Omega"/>
          <w:spacing w:val="-2"/>
        </w:rPr>
        <w:tab/>
        <w:tab/>
        <w:tab/>
        <w:tab/>
        <w:tab/>
      </w:r>
      <w:r>
        <mc:AlternateContent>
          <mc:Choice Requires="wps">
            <w:drawing>
              <wp:anchor behindDoc="0" distT="0" distB="0" distL="114300" distR="114300" simplePos="0" locked="0" layoutInCell="0" allowOverlap="1" relativeHeight="2">
                <wp:simplePos x="0" y="0"/>
                <wp:positionH relativeFrom="page">
                  <wp:posOffset>1288415</wp:posOffset>
                </wp:positionH>
                <wp:positionV relativeFrom="paragraph">
                  <wp:posOffset>46355</wp:posOffset>
                </wp:positionV>
                <wp:extent cx="5191125" cy="1050290"/>
                <wp:effectExtent l="0" t="0" r="0" b="0"/>
                <wp:wrapTopAndBottom/>
                <wp:docPr id="1" name="Frame1"/>
                <a:graphic xmlns:a="http://schemas.openxmlformats.org/drawingml/2006/main">
                  <a:graphicData uri="http://schemas.microsoft.com/office/word/2010/wordprocessingShape">
                    <wps:wsp>
                      <wps:cNvSpPr txBox="1"/>
                      <wps:spPr>
                        <a:xfrm>
                          <a:off x="0" y="0"/>
                          <a:ext cx="5191125" cy="1050290"/>
                        </a:xfrm>
                        <a:prstGeom prst="rect"/>
                        <a:solidFill>
                          <a:srgbClr val="FFFFFF">
                            <a:alpha val="0"/>
                          </a:srgbClr>
                        </a:solidFill>
                      </wps:spPr>
                      <wps:txbx>
                        <w:txbxContent>
                          <w:p>
                            <w:pPr>
                              <w:pStyle w:val="Normal"/>
                              <w:pBdr/>
                              <w:shd w:fill="auto" w:val="clear"/>
                              <w:tabs>
                                <w:tab w:val="clear" w:pos="720"/>
                                <w:tab w:val="left" w:pos="-720" w:leader="none"/>
                              </w:tabs>
                              <w:jc w:val="both"/>
                              <w:rPr/>
                            </w:pPr>
                            <w:r>
                              <w:rPr/>
                              <w:t xml:space="preserve"> </w:t>
                            </w:r>
                            <w:r>
                              <w:rPr/>
                              <w:tab/>
                              <w:tab/>
                              <w:tab/>
                            </w:r>
                            <w:r>
                              <w:rPr/>
                              <w:object w:dxaOrig="3630" w:dyaOrig="165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81.5pt;height:82.7pt" filled="f" o:ole="">
                                  <v:imagedata r:id="rId3" o:title=""/>
                                </v:shape>
                                <o:OLEObject Type="Embed" ProgID="" ShapeID="ole_rId2" DrawAspect="Content" ObjectID="_381798821" r:id="rId2"/>
                              </w:object>
                            </w:r>
                            <w:r>
                              <w:rPr/>
                              <w:tab/>
                              <w:tab/>
                            </w:r>
                          </w:p>
                        </w:txbxContent>
                      </wps:txbx>
                      <wps:bodyPr anchor="t" lIns="0" tIns="0" rIns="0" bIns="0">
                        <a:noAutofit/>
                      </wps:bodyPr>
                    </wps:wsp>
                  </a:graphicData>
                </a:graphic>
              </wp:anchor>
            </w:drawing>
          </mc:Choice>
          <mc:Fallback>
            <w:pict>
              <v:rect fillcolor="#FFFFFF" style="position:absolute;rotation:-0;width:408.75pt;height:82.7pt;mso-wrap-distance-left:9pt;mso-wrap-distance-right:9pt;mso-wrap-distance-top:0pt;mso-wrap-distance-bottom:0pt;margin-top:3.65pt;mso-position-vertical-relative:text;margin-left:101.45pt;mso-position-horizontal-relative:page">
                <v:fill opacity="0f"/>
                <v:textbox inset="0in,0in,0in,0in">
                  <w:txbxContent>
                    <w:p>
                      <w:pPr>
                        <w:pStyle w:val="Normal"/>
                        <w:pBdr/>
                        <w:shd w:fill="auto" w:val="clear"/>
                        <w:tabs>
                          <w:tab w:val="clear" w:pos="720"/>
                          <w:tab w:val="left" w:pos="-720" w:leader="none"/>
                        </w:tabs>
                        <w:jc w:val="both"/>
                        <w:rPr/>
                      </w:pPr>
                      <w:r>
                        <w:rPr/>
                        <w:t xml:space="preserve"> </w:t>
                      </w:r>
                      <w:r>
                        <w:rPr/>
                        <w:tab/>
                        <w:tab/>
                        <w:tab/>
                      </w:r>
                      <w:r>
                        <w:rPr/>
                        <w:object w:dxaOrig="3630" w:dyaOrig="165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81.5pt;height:82.7pt" filled="f" o:ole="">
                            <v:imagedata r:id="rId5" o:title=""/>
                          </v:shape>
                          <o:OLEObject Type="Embed" ProgID="" ShapeID="ole_rId4" DrawAspect="Content" ObjectID="_1184981854" r:id="rId4"/>
                        </w:object>
                      </w:r>
                      <w:r>
                        <w:rPr/>
                        <w:tab/>
                        <w:tab/>
                      </w:r>
                    </w:p>
                  </w:txbxContent>
                </v:textbox>
                <w10:wrap type="topAndBottom"/>
              </v:rect>
            </w:pict>
          </mc:Fallback>
        </mc:AlternateContent>
      </w:r>
    </w:p>
    <w:p>
      <w:pPr>
        <w:pStyle w:val="Normal"/>
        <w:shd w:fill="auto" w:val="clear"/>
        <w:tabs>
          <w:tab w:val="clear" w:pos="720"/>
          <w:tab w:val="left" w:pos="-720" w:leader="none"/>
        </w:tabs>
        <w:jc w:val="center"/>
        <w:rPr>
          <w:b/>
          <w:bCs/>
          <w:spacing w:val="-2"/>
          <w:sz w:val="16"/>
          <w:szCs w:val="16"/>
        </w:rPr>
      </w:pPr>
      <w:r>
        <w:rPr>
          <w:b/>
          <w:bCs/>
          <w:spacing w:val="-2"/>
          <w:sz w:val="16"/>
          <w:szCs w:val="16"/>
        </w:rPr>
        <w:t>NEW YORK OFFICE : 100 PARK AVE., SUITE 1606, NEW YORK, NY 10017-5516</w:t>
      </w:r>
    </w:p>
    <w:p>
      <w:pPr>
        <w:pStyle w:val="Normal"/>
        <w:shd w:fill="auto" w:val="clear"/>
        <w:tabs>
          <w:tab w:val="clear" w:pos="720"/>
          <w:tab w:val="left" w:pos="-720" w:leader="none"/>
        </w:tabs>
        <w:jc w:val="center"/>
        <w:rPr>
          <w:sz w:val="16"/>
          <w:szCs w:val="16"/>
        </w:rPr>
      </w:pPr>
      <w:r>
        <w:rPr>
          <w:b/>
          <w:bCs/>
          <w:sz w:val="16"/>
          <w:szCs w:val="16"/>
        </w:rPr>
        <w:t xml:space="preserve">REFINERY ADDRESS : FIRM DELIVERY, ROAD #127, KM. 17.1, PEÑUELAS, PUERTO RICO 00624 </w:t>
      </w:r>
    </w:p>
    <w:p>
      <w:pPr>
        <w:pStyle w:val="Normal"/>
        <w:shd w:fill="auto" w:val="clear"/>
        <w:tabs>
          <w:tab w:val="clear" w:pos="720"/>
          <w:tab w:val="left" w:pos="-720" w:leader="none"/>
        </w:tabs>
        <w:ind w:end="360"/>
        <w:jc w:val="center"/>
        <w:rPr>
          <w:b/>
          <w:bCs/>
          <w:spacing w:val="-2"/>
        </w:rPr>
      </w:pPr>
      <w:r>
        <w:rPr>
          <w:b/>
          <w:bCs/>
          <w:sz w:val="16"/>
          <w:szCs w:val="16"/>
        </w:rPr>
        <w:t xml:space="preserve">INTERNET ADDRESS : </w:t>
      </w:r>
      <w:r>
        <w:rPr>
          <w:b/>
          <w:bCs/>
          <w:spacing w:val="-2"/>
          <w:u w:val="single"/>
        </w:rPr>
        <w:t>http//www.peerlessoil.com</w:t>
      </w:r>
    </w:p>
    <w:p>
      <w:pPr>
        <w:pStyle w:val="Normal"/>
        <w:shd w:fill="auto" w:val="clear"/>
        <w:tabs>
          <w:tab w:val="clear" w:pos="720"/>
          <w:tab w:val="left" w:pos="-720" w:leader="none"/>
        </w:tabs>
        <w:ind w:end="360"/>
        <w:jc w:val="center"/>
        <w:rPr>
          <w:b/>
          <w:bCs/>
          <w:spacing w:val="-2"/>
        </w:rPr>
      </w:pPr>
      <w:r>
        <w:rPr>
          <w:b/>
          <w:bCs/>
          <w:spacing w:val="-2"/>
        </w:rPr>
      </w:r>
    </w:p>
    <w:p>
      <w:pPr>
        <w:pStyle w:val="Normal"/>
        <w:shd w:fill="auto" w:val="clear"/>
        <w:tabs>
          <w:tab w:val="clear" w:pos="720"/>
          <w:tab w:val="left" w:pos="-720" w:leader="none"/>
        </w:tabs>
        <w:ind w:end="360"/>
        <w:rPr>
          <w:rStyle w:val="NewLetter"/>
          <w:rFonts w:ascii="Univers Condensed" w:hAnsi="Univers Condensed" w:eastAsia="Univers Condensed" w:cs="Univers Condensed"/>
          <w:spacing w:val="-2"/>
          <w:sz w:val="18"/>
          <w:szCs w:val="18"/>
        </w:rPr>
      </w:pPr>
      <w:r>
        <w:rPr>
          <w:b/>
          <w:bCs/>
          <w:spacing w:val="-2"/>
        </w:rPr>
      </w:r>
    </w:p>
    <w:p>
      <w:pPr>
        <w:pStyle w:val="DefaultText"/>
        <w:shd w:fill="auto" w:val="clear"/>
        <w:tabs>
          <w:tab w:val="clear" w:pos="720"/>
          <w:tab w:val="left" w:pos="-720" w:leader="none"/>
        </w:tabs>
        <w:ind w:end="360"/>
        <w:rPr>
          <w:rStyle w:val="NewLetter"/>
          <w:rFonts w:ascii="Univers Condensed" w:hAnsi="Univers Condensed" w:eastAsia="Univers Condensed" w:cs="Univers Condensed"/>
          <w:b/>
          <w:bCs/>
          <w:spacing w:val="-2"/>
          <w:sz w:val="18"/>
          <w:szCs w:val="18"/>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end"/>
        <w:rPr>
          <w:rStyle w:val="NewLetter"/>
          <w:b w:val="false"/>
          <w:bCs w:val="false"/>
          <w:spacing w:val="-2"/>
        </w:rPr>
      </w:pPr>
      <w:r>
        <w:rPr>
          <w:rStyle w:val="NewLetter"/>
          <w:b w:val="false"/>
          <w:bCs w:val="false"/>
          <w:spacing w:val="-2"/>
        </w:rPr>
        <w:t>Monday, May 21, 2001</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Style w:val="NewLetter"/>
          <w:b w:val="false"/>
          <w:bCs w:val="false"/>
          <w:spacing w:val="-2"/>
        </w:rPr>
        <w:t>Mr. Jaime Sanabria</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Style w:val="NewLetter"/>
          <w:b w:val="false"/>
          <w:bCs w:val="false"/>
          <w:spacing w:val="-2"/>
        </w:rPr>
        <w:t>Chief Financial Officer</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Style w:val="NewLetter"/>
          <w:b w:val="false"/>
          <w:bCs w:val="false"/>
          <w:spacing w:val="-2"/>
        </w:rPr>
        <w:t>EcoElectrica, L.P.</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Style w:val="NewLetter"/>
          <w:b w:val="false"/>
          <w:bCs w:val="false"/>
          <w:spacing w:val="-2"/>
        </w:rPr>
        <w:t>Plaza Scotiabank, Suite 902</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Style w:val="NewLetter"/>
          <w:b w:val="false"/>
          <w:bCs w:val="false"/>
          <w:spacing w:val="-2"/>
        </w:rPr>
        <w:t>273 Ponce de Leon</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Style w:val="NewLetter"/>
          <w:b w:val="false"/>
          <w:bCs w:val="false"/>
          <w:spacing w:val="-2"/>
        </w:rPr>
        <w:t>San Juan,  P.R. 00917</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Style w:val="NewLetter"/>
          <w:b w:val="false"/>
          <w:bCs w:val="false"/>
          <w:spacing w:val="-2"/>
        </w:rPr>
        <w:t>Dear Jamie,</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Style w:val="NewLetter"/>
          <w:b w:val="false"/>
          <w:bCs w:val="false"/>
          <w:spacing w:val="-2"/>
        </w:rPr>
        <w:t>Ed Maciula and I were very pleased to meet with you on Thursday, May 17. And both of us are looking forward to working with EcoElectrica on the potential diesel supply/tank lease arrangement that we discussed at our meeting. At your request, I am outlining the proposal for you below.</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Style w:val="NewLetter"/>
          <w:b w:val="false"/>
          <w:bCs w:val="false"/>
          <w:spacing w:val="-2"/>
          <w:u w:val="single"/>
        </w:rPr>
      </w:pPr>
      <w:r>
        <w:rPr>
          <w:rStyle w:val="NewLetter"/>
          <w:b w:val="false"/>
          <w:bCs w:val="false"/>
          <w:spacing w:val="-2"/>
          <w:u w:val="double"/>
        </w:rPr>
        <w:t>PROPOSAL (OUTLINE)</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i/>
          <w:i/>
          <w:iCs/>
          <w:spacing w:val="-2"/>
          <w:u w:val="single"/>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i/>
          <w:i/>
          <w:iCs/>
          <w:spacing w:val="-2"/>
          <w:u w:val="single"/>
        </w:rPr>
      </w:pPr>
      <w:r>
        <w:rPr>
          <w:rStyle w:val="NewLetter"/>
          <w:b w:val="false"/>
          <w:bCs w:val="false"/>
          <w:i/>
          <w:iCs/>
          <w:spacing w:val="-2"/>
          <w:u w:val="single"/>
        </w:rPr>
        <w:t>Premise:</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i/>
          <w:i/>
          <w:iCs/>
          <w:spacing w:val="-2"/>
          <w:u w:val="single"/>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i/>
          <w:i/>
          <w:iCs/>
          <w:spacing w:val="-2"/>
        </w:rPr>
      </w:pPr>
      <w:r>
        <w:rPr>
          <w:rStyle w:val="NewLetter"/>
          <w:b w:val="false"/>
          <w:bCs w:val="false"/>
          <w:spacing w:val="-2"/>
        </w:rPr>
        <w:t xml:space="preserve">EcoElectrica owns and operates a Power Plant whose primary fuel, to generate electricity, is natural gas delivered in liquefied form at EcoElectrica’s special LNG Dock and stored in EcoElectrica’s special LNG storage facilities. However, from time to time, EcoElectrica requires low sulfur diesel fuel oil of specific quality (“Product”) for burn at its Power Plant. This requirement is not predictable as to timing nor quantity, hence EcoElectrica has to utilize its working capital to own and store, in the specially constructed and owned storage tank (“The Tank”) located on the same property as the Power Plant, a minimum quantity of Product as inventory (“Minimum Inventory”) at all times. In addition, in order to retain the quality of the Product and prevent staleness of unused inventory, EcoElectrica, from time to time, has to sell the entire Minimum Inventory and replace it with purchases of more currently produced Product from oil suppliers. </w:t>
      </w:r>
      <w:r>
        <w:rPr>
          <w:rStyle w:val="NewLetter"/>
          <w:i/>
          <w:iCs/>
          <w:spacing w:val="-2"/>
        </w:rPr>
        <w:t xml:space="preserve">EcoElectrica desires to utilize its working capital and other requisite resources for its primary fuel, LNG; hence EcoElectrica desires Peerless, utilizing Peerless’ own resources, to initially purchase all the Minimum Inventory owned by EcoElectrica and, thereafter, to maintain the Minimum Inventory on behalf of EcoElectrica with a guarantee to supply and sell to EcoElectrica </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i/>
          <w:i/>
          <w:iCs/>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Style w:val="NewLetter"/>
          <w:i/>
          <w:i/>
          <w:iCs/>
          <w:spacing w:val="-2"/>
        </w:rPr>
      </w:pPr>
      <w:r>
        <w:rPr>
          <w:rStyle w:val="NewLetter"/>
          <w:rFonts w:eastAsia="Times New Roman" w:cs="Times New Roman"/>
          <w:i/>
          <w:iCs/>
          <w:spacing w:val="-3"/>
          <w:sz w:val="28"/>
          <w:szCs w:val="28"/>
          <w:u w:val="single"/>
        </w:rPr>
        <w:t>2</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i/>
          <w:i/>
          <w:iCs/>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i/>
          <w:i/>
          <w:iCs/>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i/>
          <w:i/>
          <w:iCs/>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Style w:val="NewLetter"/>
          <w:i/>
          <w:iCs/>
          <w:spacing w:val="-2"/>
        </w:rPr>
        <w:t>the Product when and as needed by EcoElectrica</w:t>
      </w:r>
      <w:r>
        <w:rPr>
          <w:rStyle w:val="NewLetter"/>
          <w:b w:val="false"/>
          <w:bCs w:val="false"/>
          <w:spacing w:val="-2"/>
        </w:rPr>
        <w:t xml:space="preserve"> </w:t>
      </w:r>
      <w:r>
        <w:rPr>
          <w:rStyle w:val="NewLetter"/>
          <w:i/>
          <w:iCs/>
          <w:spacing w:val="-2"/>
        </w:rPr>
        <w:t>in daily quantities  and on EcoElectrica’s specifications as required by EcoElectrica.</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Style w:val="NewLetter"/>
          <w:b w:val="false"/>
          <w:bCs w:val="false"/>
          <w:spacing w:val="-2"/>
        </w:rPr>
        <w:t xml:space="preserve">Peerless, located on neighboring property contiguous to EcoElectrica’ Power Plant and The Tank, owns and operates the Peerless Oil Terminal which, in the main, comprises: a Tanker/Barge Dock (which is owned by the Port Authority but operated by Peerless; EcoElectrica’s delivered Product purchases are also handled by Peerless at this Dock); 43 oil storage tanks (capacity: 1.6 million barrels) which have been certified (by the U.S. and Puerto Rico Governments) Free Trade Zone (“FTZ”); and truck loading racks to distribute various oil products. In addition to purchasing (from international oil suppliers), receiving, handling, storing, blending, distributing and selling (to independent local oil distributors) in excess of 2.0 million barrels per year (estimate for 2001) of motor gasoline and diesel oil (including diesel oil of the same quality as the Product), Peerless also receives, stores, blends and distributes motor gasoline and diesel for Shell Oil Company. Peerless has a working capital facility made available by BNP Paribas in New York. </w:t>
      </w:r>
      <w:r>
        <w:rPr>
          <w:rStyle w:val="NewLetter"/>
          <w:i/>
          <w:iCs/>
          <w:spacing w:val="-2"/>
        </w:rPr>
        <w:t>Peerless desires to include The Tank</w:t>
      </w:r>
      <w:r>
        <w:rPr>
          <w:rStyle w:val="NewLetter"/>
          <w:b w:val="false"/>
          <w:bCs w:val="false"/>
          <w:spacing w:val="-2"/>
        </w:rPr>
        <w:t xml:space="preserve"> </w:t>
      </w:r>
      <w:r>
        <w:rPr>
          <w:rStyle w:val="NewLetter"/>
          <w:i/>
          <w:iCs/>
          <w:spacing w:val="-2"/>
        </w:rPr>
        <w:t>as part of Peerless’ storage capacity; to have The Tank certified as part of Peerless’ FTZ; to maintain Minimum Inventory within this combined storage capacity</w:t>
      </w:r>
      <w:r>
        <w:rPr>
          <w:rStyle w:val="NewLetter"/>
          <w:b w:val="false"/>
          <w:bCs w:val="false"/>
          <w:spacing w:val="-2"/>
        </w:rPr>
        <w:t xml:space="preserve"> </w:t>
      </w:r>
      <w:r>
        <w:rPr>
          <w:rStyle w:val="NewLetter"/>
          <w:i/>
          <w:iCs/>
          <w:spacing w:val="-2"/>
        </w:rPr>
        <w:t>(utilizing Peerless’ working capital resources and supply arrangements); and to sell to EcoElectrica Product as and when needed by EcoElectrica and in daily quantities as required.</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Style w:val="NewLetter"/>
          <w:b w:val="false"/>
          <w:bCs w:val="false"/>
          <w:i/>
          <w:iCs/>
          <w:spacing w:val="-2"/>
          <w:u w:val="single"/>
        </w:rPr>
        <w:t>Outline of Agreement</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end="0"/>
        <w:rPr>
          <w:rStyle w:val="NewLetter"/>
          <w:b w:val="false"/>
          <w:bCs w:val="false"/>
          <w:spacing w:val="-2"/>
        </w:rPr>
      </w:pPr>
      <w:r>
        <w:rPr>
          <w:b/>
          <w:bCs/>
        </w:rPr>
        <w:t>1)</w:t>
        <w:tab/>
      </w:r>
      <w:r>
        <w:rPr>
          <w:rStyle w:val="NewLetter"/>
          <w:b w:val="false"/>
          <w:bCs w:val="false"/>
          <w:spacing w:val="-2"/>
        </w:rPr>
        <w:t>EcoElectrica will lease or rent The Tank or make it available to Peerless, in such manner that Peerless is able to incorporate The Tank in Peerless’ FTZ as part of Peerless’ available storage capacity. Peerless will provide the below services in satisfaction of any lease/rental payments.</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end="0"/>
        <w:rPr>
          <w:rStyle w:val="NewLetter"/>
          <w:b w:val="false"/>
          <w:bCs w:val="false"/>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end="0"/>
        <w:rPr>
          <w:rStyle w:val="NewLetter"/>
          <w:b w:val="false"/>
          <w:bCs w:val="false"/>
          <w:spacing w:val="-2"/>
        </w:rPr>
      </w:pPr>
      <w:r>
        <w:rPr>
          <w:b/>
          <w:bCs/>
        </w:rPr>
        <w:t>2)</w:t>
        <w:tab/>
      </w:r>
      <w:r>
        <w:rPr>
          <w:rStyle w:val="NewLetter"/>
          <w:b w:val="false"/>
          <w:bCs w:val="false"/>
          <w:spacing w:val="-2"/>
        </w:rPr>
        <w:t>Concurrently with the above, Peerless will purchase all the age-dated EcoElectrica-owned Product then in storage in The Tank, paying EcoElectrica, in CASH, the price equal to the “Platt’s Gulf Coast Low Sulfur Price for No. 2 Oil PLUS 4.5 cents per gallon” , such price as published in Platt’s on the day of the title passing to Peerless.</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end="0"/>
        <w:rPr>
          <w:rStyle w:val="NewLetter"/>
          <w:b w:val="false"/>
          <w:bCs w:val="false"/>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end="0"/>
        <w:rPr>
          <w:rStyle w:val="NewLetter"/>
          <w:b w:val="false"/>
          <w:bCs w:val="false"/>
          <w:spacing w:val="-2"/>
        </w:rPr>
      </w:pPr>
      <w:r>
        <w:rPr>
          <w:b/>
          <w:bCs/>
        </w:rPr>
        <w:t>3)</w:t>
        <w:tab/>
      </w:r>
      <w:r>
        <w:rPr>
          <w:rStyle w:val="NewLetter"/>
          <w:b w:val="false"/>
          <w:bCs w:val="false"/>
          <w:spacing w:val="-2"/>
        </w:rPr>
        <w:t xml:space="preserve">Concurrently with the above, Peerless will agree to have available, at all times within the combined Peerless-owned FTZ storage capacity coupled with any Product in-transit for delivery to Peerless’ Dock, a quantity of Product equal to Minimum Inventory; and Peerless will agree to supply to EcoElectrica daily quantity of Product when needed and as required by EcoElectrica from Minimum Inventory which Peerless will continually have replenished from its oil suppliers, as practicable, to keep the Minimum Inventory available for EcoElectrica even as daily quantity of Product is being supplied to EcoElectrica from Minimum Inventory. </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end="0"/>
        <w:rPr>
          <w:rStyle w:val="NewLetter"/>
          <w:b w:val="false"/>
          <w:bCs w:val="false"/>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Style w:val="NewLetter"/>
          <w:rFonts w:ascii="Times New Roman" w:hAnsi="Times New Roman" w:eastAsia="Times New Roman" w:cs="Times New Roman"/>
          <w:sz w:val="28"/>
          <w:szCs w:val="28"/>
          <w:u w:val="single"/>
        </w:rPr>
      </w:pPr>
      <w:r>
        <w:rPr>
          <w:b/>
          <w:bCs/>
          <w:sz w:val="28"/>
          <w:szCs w:val="28"/>
          <w:u w:val="single"/>
        </w:rPr>
        <w:t>3</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end="0"/>
        <w:rPr>
          <w:rStyle w:val="NewLetter"/>
          <w:b w:val="false"/>
          <w:bCs w:val="false"/>
          <w:spacing w:val="-2"/>
          <w:u w:val="single"/>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end="0"/>
        <w:rPr>
          <w:rStyle w:val="NewLetter"/>
          <w:b w:val="false"/>
          <w:bCs w:val="false"/>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end="0"/>
        <w:rPr>
          <w:rStyle w:val="NewLetter"/>
          <w:b w:val="false"/>
          <w:bCs w:val="false"/>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end="0"/>
        <w:rPr>
          <w:rStyle w:val="NewLetter"/>
          <w:b w:val="false"/>
          <w:bCs w:val="false"/>
          <w:spacing w:val="-2"/>
        </w:rPr>
      </w:pPr>
      <w:r>
        <w:rPr>
          <w:b/>
          <w:bCs/>
        </w:rPr>
        <w:t>4)</w:t>
        <w:tab/>
      </w:r>
      <w:r>
        <w:rPr>
          <w:rStyle w:val="NewLetter"/>
          <w:b w:val="false"/>
          <w:bCs w:val="false"/>
          <w:spacing w:val="-2"/>
        </w:rPr>
        <w:t>The price for any day’s quantity of Product sold to EcoElectrica by Peerless (per above) will be that same day’s closing “Platt’s Gulf Coast Low Sulfur Price for No. 2 Oil PLUS 7.0 cents per gallon”. (This “closing Platt’s price” is published in the next day’s issue of Platt’s.)</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end="0"/>
        <w:rPr>
          <w:rStyle w:val="NewLetter"/>
          <w:b w:val="false"/>
          <w:bCs w:val="false"/>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end="0"/>
        <w:rPr>
          <w:rStyle w:val="NewLetter"/>
          <w:b w:val="false"/>
          <w:bCs w:val="false"/>
          <w:spacing w:val="-2"/>
        </w:rPr>
      </w:pPr>
      <w:r>
        <w:rPr>
          <w:b/>
          <w:bCs/>
        </w:rPr>
        <w:t>5)</w:t>
        <w:tab/>
      </w:r>
      <w:r>
        <w:rPr>
          <w:rStyle w:val="NewLetter"/>
          <w:b w:val="false"/>
          <w:bCs w:val="false"/>
          <w:spacing w:val="-2"/>
        </w:rPr>
        <w:t>EcoElectrica and Peerless will work out a basis for sharing any expenses incurred to have The Tank connected to Peerless’ Oil Terminal for transferring in and/or transferring out Product to Peerless’ storage or to the Dock. In addition, any expenses incurred in repairs and maintenance of The Tank will be solely for EcoElectrica’s account. However, the operating cost for the tank incurred in the movement of the Product will be solely for Peerless’ account.</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end="0"/>
        <w:rPr>
          <w:rStyle w:val="NewLetter"/>
          <w:b w:val="false"/>
          <w:bCs w:val="false"/>
          <w:spacing w:val="-2"/>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end="0"/>
        <w:rPr>
          <w:rStyle w:val="NewLetter"/>
          <w:b w:val="false"/>
          <w:bCs w:val="false"/>
          <w:spacing w:val="-2"/>
        </w:rPr>
      </w:pPr>
      <w:r>
        <w:rPr>
          <w:b/>
          <w:bCs/>
        </w:rPr>
        <w:t>6)</w:t>
        <w:tab/>
      </w:r>
      <w:r>
        <w:rPr>
          <w:rStyle w:val="NewLetter"/>
          <w:b w:val="false"/>
          <w:bCs w:val="false"/>
          <w:spacing w:val="-2"/>
        </w:rPr>
        <w:t>The term of this Agreement will be for THREE YearS; and will automatically continue beyond that unless terminated by either Party with Six-month Notice.</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Style w:val="NewLetter"/>
          <w:b w:val="false"/>
          <w:bCs w:val="false"/>
        </w:rPr>
        <w:t xml:space="preserve">As you can see Jaime, I have included in the Outline all the salient points so that it can be seen why the Proposal benefits both Parties. In addition, to enable both Parties to put the above arrangement in place without delay, please note that prior to the inclusion of the EcoElectrica tank (“The Tank”) in the FTZ, the Minimum Inventory will be stored at Peerless and delivered on demand to EcoElectrica via the interconnection. </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Style w:val="NewLetter"/>
          <w:b w:val="false"/>
          <w:bCs w:val="false"/>
        </w:rPr>
        <w:t>Let me know how you wish to proceed from here ... as I had indicated to you, we are in a position to act quickly and hence would be willing to meet with you and EcoElectrica at your convenience.</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Style w:val="NewLetter"/>
          <w:b w:val="false"/>
          <w:bCs w:val="false"/>
        </w:rPr>
        <w:t>Many thanks to you from Ed and myself for the very useful and instructive meeting of last Thursday ...</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Style w:val="NewLetter"/>
          <w:b w:val="false"/>
          <w:bCs w:val="false"/>
        </w:rPr>
        <w:t>Sincerely,</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Style w:val="NewLetter"/>
          <w:b w:val="false"/>
          <w:bCs w:val="false"/>
        </w:rPr>
        <w:t>Azmat A. Assur</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Style w:val="NewLetter"/>
          <w:b w:val="false"/>
          <w:bCs w:val="false"/>
        </w:rPr>
        <w:t>President</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Style w:val="NewLetter"/>
          <w:b w:val="false"/>
          <w:bCs w:val="false"/>
        </w:rPr>
        <w:t>Cc: Ed Maciula</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Style w:val="NewLetter"/>
          <w:b w:val="false"/>
          <w:bCs w:val="false"/>
        </w:rPr>
      </w:pPr>
      <w:r>
        <w:rPr>
          <w:rStyle w:val="NewLetter"/>
          <w:b w:val="false"/>
          <w:bCs w:val="false"/>
        </w:rPr>
        <w:t xml:space="preserve">      </w:t>
      </w:r>
      <w:r>
        <w:rPr>
          <w:rStyle w:val="NewLetter"/>
          <w:b w:val="false"/>
          <w:bCs w:val="false"/>
        </w:rPr>
        <w:t>Madeleine Greyshon</w:t>
      </w:r>
    </w:p>
    <w:p>
      <w:pPr>
        <w:pStyle w:val="Normal"/>
        <w:shd w:fill="auto"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end="0"/>
        <w:rPr/>
      </w:pPr>
      <w:r>
        <w:rPr>
          <w:rStyle w:val="NewLetter"/>
          <w:b w:val="false"/>
          <w:bCs w:val="false"/>
        </w:rPr>
        <w:t xml:space="preserve">  </w:t>
      </w:r>
    </w:p>
    <w:sectPr>
      <w:headerReference w:type="default" r:id="rId6"/>
      <w:footerReference w:type="default" r:id="rId7"/>
      <w:type w:val="nextPage"/>
      <w:pgSz w:w="12240" w:h="15840"/>
      <w:pgMar w:left="1800" w:right="1800" w:gutter="0" w:header="0" w:top="56" w:footer="395" w:bottom="79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ahoma">
    <w:charset w:val="01"/>
    <w:family w:val="swiss"/>
    <w:pitch w:val="variable"/>
  </w:font>
  <w:font w:name="Liberation Sans">
    <w:altName w:val="Arial"/>
    <w:charset w:val="01" w:characterSet="utf-8"/>
    <w:family w:val="swiss"/>
    <w:pitch w:val="variable"/>
  </w:font>
  <w:font w:name="CG Omega">
    <w:charset w:val="01"/>
    <w:family w:val="swiss"/>
    <w:pitch w:val="variable"/>
  </w:font>
  <w:font w:name="Univers Condensed">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fill="auto" w:val="clear"/>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 w:val="left" w:pos="11520" w:leader="none"/>
      </w:tabs>
      <w:jc w:val="center"/>
      <w:rPr>
        <w:rFonts w:ascii="Tahoma" w:hAnsi="Tahoma" w:eastAsia="Tahoma" w:cs="Tahoma"/>
        <w:sz w:val="24"/>
        <w:szCs w:val="24"/>
      </w:rPr>
    </w:pPr>
    <w:r>
      <w:rPr>
        <w:rFonts w:eastAsia="CG Omega" w:cs="CG Omega" w:ascii="CG Omega" w:hAnsi="CG Omega"/>
        <w:b/>
        <w:bCs/>
        <w:sz w:val="16"/>
        <w:szCs w:val="16"/>
      </w:rPr>
      <w:t>NY: (212) 210-9280 / FAX: (212) 210-9277 / E-mail: pocesco@msn.com</w:t>
    </w:r>
  </w:p>
  <w:p>
    <w:pPr>
      <w:pStyle w:val="Footer"/>
      <w:shd w:fill="auto" w:val="clear"/>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 w:val="left" w:pos="11520" w:leader="none"/>
      </w:tabs>
      <w:jc w:val="center"/>
      <w:rPr>
        <w:rFonts w:ascii="CG Omega" w:hAnsi="CG Omega" w:eastAsia="CG Omega" w:cs="CG Omega"/>
        <w:b/>
        <w:bCs/>
        <w:spacing w:val="-2"/>
        <w:sz w:val="16"/>
        <w:szCs w:val="16"/>
      </w:rPr>
    </w:pPr>
    <w:r>
      <w:rPr>
        <w:rFonts w:eastAsia="CG Omega" w:cs="CG Omega" w:ascii="CG Omega" w:hAnsi="CG Omega"/>
        <w:b/>
        <w:bCs/>
        <w:spacing w:val="-2"/>
        <w:sz w:val="16"/>
        <w:szCs w:val="16"/>
      </w:rPr>
      <w:t xml:space="preserve">PR: </w:t>
    </w:r>
    <w:r>
      <w:rPr>
        <w:rFonts w:eastAsia="CG Omega" w:cs="CG Omega" w:ascii="CG Omega" w:hAnsi="CG Omega"/>
        <w:b/>
        <w:bCs/>
        <w:sz w:val="16"/>
        <w:szCs w:val="16"/>
      </w:rPr>
      <w:t>(787) 836-1280,1154; (787) 841-4090 / FAX: (787) 836-1283 / E-mail: peerless@coqui.net</w:t>
    </w:r>
  </w:p>
  <w:p>
    <w:pPr>
      <w:pStyle w:val="Footer"/>
      <w:shd w:fill="auto" w:val="clear"/>
      <w:jc w:val="center"/>
      <w:rPr>
        <w:rFonts w:ascii="CG Omega" w:hAnsi="CG Omega" w:eastAsia="CG Omega" w:cs="CG Omega"/>
        <w:b/>
        <w:bCs/>
        <w:spacing w:val="-2"/>
        <w:sz w:val="16"/>
        <w:szCs w:val="16"/>
      </w:rPr>
    </w:pPr>
    <w:r>
      <w:rPr>
        <w:rFonts w:eastAsia="CG Omega" w:cs="CG Omega" w:ascii="CG Omega" w:hAnsi="CG Omega"/>
        <w:b/>
        <w:bCs/>
        <w:spacing w:val="-2"/>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ab/>
      <w:tab/>
      <w:tab/>
      <w:tab/>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rFonts w:ascii="Times New Roman" w:hAnsi="Times New Roman" w:eastAsia="Times New Roman" w:cs="Times New Roman"/>
      <w:color w:val="auto"/>
      <w:spacing w:val="0"/>
      <w:sz w:val="24"/>
      <w:szCs w:val="24"/>
    </w:rPr>
  </w:style>
  <w:style w:type="character" w:styleId="NewLetter">
    <w:name w:val="New Letter"/>
    <w:qFormat/>
    <w:rPr>
      <w:rFonts w:ascii="Tahoma" w:hAnsi="Tahoma" w:eastAsia="Tahoma" w:cs="Tahoma"/>
      <w:b/>
      <w:bCs/>
      <w:color w:val="auto"/>
      <w:spacing w:val="0"/>
      <w:sz w:val="24"/>
      <w:szCs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efaultText">
    <w:name w:val="Default Text"/>
    <w:basedOn w:val="Normal"/>
    <w:qFormat/>
    <w:pPr/>
    <w:rPr>
      <w:sz w:val="24"/>
      <w:szCs w:val="24"/>
      <w:lang w:val="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1.e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