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Energy Company Name</w:t>
        <w:tab/>
        <w:tab/>
        <w:tab/>
        <w:tab/>
        <w:tab/>
        <w:tab/>
        <w:t>Date</w:t>
      </w:r>
    </w:p>
    <w:p>
      <w:pPr>
        <w:pStyle w:val="Normal"/>
        <w:rPr>
          <w:sz w:val="24"/>
        </w:rPr>
      </w:pPr>
      <w:r>
        <w:rPr>
          <w:sz w:val="24"/>
        </w:rPr>
        <w:t>Address 1</w:t>
      </w:r>
    </w:p>
    <w:p>
      <w:pPr>
        <w:pStyle w:val="Normal"/>
        <w:rPr>
          <w:sz w:val="24"/>
        </w:rPr>
      </w:pPr>
      <w:r>
        <w:rPr>
          <w:sz w:val="24"/>
        </w:rPr>
        <w:t>Address 2</w:t>
      </w:r>
    </w:p>
    <w:p>
      <w:pPr>
        <w:pStyle w:val="Normal"/>
        <w:rPr>
          <w:sz w:val="24"/>
        </w:rPr>
      </w:pPr>
      <w:r>
        <w:rPr>
          <w:sz w:val="24"/>
        </w:rPr>
        <w:t>City, State, Country, Postal Code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   Announcing eClearinghouse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Sirs,</w:t>
      </w:r>
    </w:p>
    <w:p>
      <w:pPr>
        <w:pStyle w:val="Normal"/>
        <w:rPr>
          <w:sz w:val="24"/>
        </w:rPr>
      </w:pPr>
      <w:r>
        <w:rPr>
          <w:sz w:val="24"/>
        </w:rPr>
      </w:r>
    </w:p>
    <w:p>
      <w:pPr>
        <w:pStyle w:val="Normal"/>
        <w:ind w:start="360" w:end="0"/>
        <w:rPr/>
      </w:pPr>
      <w:r>
        <w:rPr>
          <w:sz w:val="24"/>
        </w:rPr>
        <w:t>Enron and its affiliates (</w:t>
      </w:r>
      <w:r>
        <w:rPr>
          <w:b/>
          <w:sz w:val="24"/>
        </w:rPr>
        <w:t>“Enron”</w:t>
      </w:r>
      <w:r>
        <w:rPr>
          <w:sz w:val="24"/>
        </w:rPr>
        <w:t xml:space="preserve">) are please to announce </w:t>
      </w:r>
      <w:r>
        <w:rPr>
          <w:b/>
          <w:sz w:val="24"/>
        </w:rPr>
        <w:t xml:space="preserve">eClearinghouse </w:t>
      </w:r>
      <w:r>
        <w:rPr>
          <w:sz w:val="24"/>
        </w:rPr>
        <w:t>(“</w:t>
      </w:r>
      <w:r>
        <w:rPr>
          <w:b/>
          <w:sz w:val="24"/>
        </w:rPr>
        <w:t>ECH”</w:t>
      </w:r>
      <w:r>
        <w:rPr>
          <w:sz w:val="24"/>
        </w:rPr>
        <w:t>) a global energy trade service and clearing company for over-the-counter (“</w:t>
      </w:r>
      <w:r>
        <w:rPr>
          <w:b/>
          <w:sz w:val="24"/>
        </w:rPr>
        <w:t>OTC</w:t>
      </w:r>
      <w:r>
        <w:rPr>
          <w:sz w:val="24"/>
        </w:rPr>
        <w:t xml:space="preserve">”) trades.  ECH is the result of years of development by Enron’s technical and commercial trading groups in the energy industry and will provide seamless confirmation, margining and settlement </w:t>
      </w:r>
      <w:r>
        <w:rPr>
          <w:i/>
          <w:sz w:val="24"/>
        </w:rPr>
        <w:t xml:space="preserve">at the click of a button. </w:t>
      </w:r>
    </w:p>
    <w:p>
      <w:pPr>
        <w:pStyle w:val="Normal"/>
        <w:ind w:start="360" w:end="0"/>
        <w:rPr>
          <w:i/>
          <w:i/>
          <w:sz w:val="24"/>
        </w:rPr>
      </w:pPr>
      <w:r>
        <w:rPr>
          <w:i/>
          <w:sz w:val="24"/>
        </w:rPr>
      </w:r>
    </w:p>
    <w:p>
      <w:pPr>
        <w:pStyle w:val="BodyTextIndent"/>
        <w:rPr/>
      </w:pPr>
      <w:r>
        <w:rPr/>
        <w:t>Enron is presenting ECH to the top energy trading and transaction companies in North America and Europe, and will offer strategic equity interests (“the interests”) to a select group.</w:t>
      </w:r>
    </w:p>
    <w:p>
      <w:pPr>
        <w:pStyle w:val="Normal"/>
        <w:ind w:start="360" w:end="0"/>
        <w:rPr>
          <w:sz w:val="24"/>
        </w:rPr>
      </w:pPr>
      <w:r>
        <w:rPr>
          <w:sz w:val="24"/>
        </w:rPr>
      </w:r>
    </w:p>
    <w:p>
      <w:pPr>
        <w:pStyle w:val="Normal"/>
        <w:ind w:start="360" w:end="0"/>
        <w:rPr>
          <w:sz w:val="24"/>
        </w:rPr>
      </w:pPr>
      <w:r>
        <w:rPr>
          <w:sz w:val="24"/>
        </w:rPr>
        <w:t xml:space="preserve">The wholesale bilateral energy trading market is forecasted to increase __ % over the next few years from $__ billion today to $ __ billion in 200_.  The growth of these markets is subject to constraints due to default of company obligations, as experienced in the power industry during the summers of 1998 and 1999, and, by the manual processing requirements of a company’s back office.  ECH will combine the flexibility of the OTC market with the creditworthiness of an exchange-traded product, and introduce the advancement of straight-through-processing.  </w:t>
      </w:r>
    </w:p>
    <w:p>
      <w:pPr>
        <w:pStyle w:val="Normal"/>
        <w:ind w:start="360" w:end="0"/>
        <w:rPr>
          <w:sz w:val="24"/>
        </w:rPr>
      </w:pPr>
      <w:r>
        <w:rPr>
          <w:sz w:val="24"/>
        </w:rPr>
      </w:r>
    </w:p>
    <w:p>
      <w:pPr>
        <w:pStyle w:val="Normal"/>
        <w:ind w:start="360" w:end="0"/>
        <w:rPr>
          <w:sz w:val="24"/>
        </w:rPr>
      </w:pPr>
      <w:r>
        <w:rPr>
          <w:sz w:val="24"/>
        </w:rPr>
        <w:t xml:space="preserve">ECH is uniquely qualified to provide unparalleled trade efficiency and minimize counterparty risk exposure. With the backing of Enron, the largest power and gas trader in North America and Europe, and the use of reliable and scaleable technology developed in the energy and financial industries, eClearinghouse can significantly reduce transaction risks and costs. Users of the system will send trade data to ECH via secure media including the Internet or dedicated lines. By licensing EnergyML, a standard language for energy trades and nominations, from ECH, users will be able to integrate their internal systems for seamless interactive services. </w:t>
      </w:r>
    </w:p>
    <w:p>
      <w:pPr>
        <w:pStyle w:val="Normal"/>
        <w:ind w:start="360" w:end="0"/>
        <w:rPr>
          <w:sz w:val="24"/>
        </w:rPr>
      </w:pPr>
      <w:r>
        <w:rPr>
          <w:sz w:val="24"/>
        </w:rPr>
      </w:r>
    </w:p>
    <w:p>
      <w:pPr>
        <w:pStyle w:val="Normal"/>
        <w:ind w:start="360" w:end="0"/>
        <w:rPr/>
      </w:pPr>
      <w:r>
        <w:rPr>
          <w:sz w:val="24"/>
        </w:rPr>
        <w:t xml:space="preserve">Owners of eClearinghouse have a chance to participate in a </w:t>
      </w:r>
      <w:r>
        <w:rPr>
          <w:i/>
          <w:sz w:val="24"/>
        </w:rPr>
        <w:t>win-win-win</w:t>
      </w:r>
      <w:r>
        <w:rPr>
          <w:sz w:val="24"/>
        </w:rPr>
        <w:t xml:space="preserve"> opportunity.  Owners and users will win by decreasing their back office and trade failure costs; Owners and users will win by reducing counterparty risk with increased margined transactions; and Owners will win by having equity in a e-commerce company with a separate market capitalization.</w:t>
      </w:r>
    </w:p>
    <w:p>
      <w:pPr>
        <w:pStyle w:val="Normal"/>
        <w:ind w:start="360" w:end="0"/>
        <w:rPr>
          <w:sz w:val="24"/>
        </w:rPr>
      </w:pPr>
      <w:r>
        <w:rPr>
          <w:sz w:val="24"/>
        </w:rPr>
      </w:r>
    </w:p>
    <w:p>
      <w:pPr>
        <w:pStyle w:val="Normal"/>
        <w:ind w:start="360" w:end="0"/>
        <w:rPr>
          <w:sz w:val="24"/>
        </w:rPr>
      </w:pPr>
      <w:r>
        <w:rPr>
          <w:sz w:val="24"/>
        </w:rPr>
      </w:r>
    </w:p>
    <w:p>
      <w:pPr>
        <w:pStyle w:val="Normal"/>
        <w:ind w:firstLine="360" w:end="0"/>
        <w:rPr>
          <w:sz w:val="24"/>
        </w:rPr>
      </w:pPr>
      <w:r>
        <w:rPr>
          <w:b/>
          <w:sz w:val="24"/>
        </w:rPr>
        <w:t>Interests Requirements</w:t>
      </w:r>
    </w:p>
    <w:p>
      <w:pPr>
        <w:pStyle w:val="Normal"/>
        <w:ind w:start="360" w:end="0"/>
        <w:rPr>
          <w:sz w:val="24"/>
        </w:rPr>
      </w:pPr>
      <w:r>
        <w:rPr>
          <w:sz w:val="24"/>
        </w:rPr>
        <w:t>.</w:t>
      </w:r>
    </w:p>
    <w:p>
      <w:pPr>
        <w:pStyle w:val="Normal"/>
        <w:ind w:start="360" w:end="0"/>
        <w:rPr/>
      </w:pPr>
      <w:r>
        <w:rPr>
          <w:sz w:val="24"/>
        </w:rPr>
        <w:t>Attached is a presentation brief on eClearinghouse</w:t>
      </w:r>
      <w:r>
        <w:rPr>
          <w:b/>
          <w:sz w:val="24"/>
        </w:rPr>
        <w:t>.  Enron provides this material for information purposes only.</w:t>
      </w:r>
      <w:r>
        <w:rPr>
          <w:sz w:val="24"/>
        </w:rPr>
        <w:t xml:space="preserve">  A limited number of parties will have access to this material and its sole purpose is to assist recipients in deciding whether they wish to proceed with further investigations into reviewing equity and contractual interests (“interests”). Enron does not accept any liability or responsibility for the accuracy or completeness of, nor makes any representation or warranty, express or implied, with respect to, the information (including without limitation all financial information and projections) contained herein or any other information or representations, written or oral, supplied or made in connection with any negotiations for the acquisition of interests.  The information contained herein is confidential and the property of Enron.</w:t>
      </w:r>
    </w:p>
    <w:p>
      <w:pPr>
        <w:pStyle w:val="Normal"/>
        <w:ind w:start="360" w:end="0"/>
        <w:rPr>
          <w:sz w:val="24"/>
        </w:rPr>
      </w:pPr>
      <w:r>
        <w:rPr>
          <w:sz w:val="24"/>
        </w:rPr>
      </w:r>
    </w:p>
    <w:p>
      <w:pPr>
        <w:pStyle w:val="Normal"/>
        <w:ind w:start="360" w:end="0"/>
        <w:rPr/>
      </w:pPr>
      <w:r>
        <w:rPr>
          <w:b/>
          <w:sz w:val="24"/>
        </w:rPr>
        <w:t xml:space="preserve">Should recipients wish to further investigate the interests, the attached Non-Disclosure Agreement (NDA) must be completed.  </w:t>
      </w:r>
      <w:r>
        <w:rPr>
          <w:sz w:val="24"/>
        </w:rPr>
        <w:t xml:space="preserve">Once a completed agreement is received by Enron, a representative will provide further confidential information.  </w:t>
      </w:r>
    </w:p>
    <w:p>
      <w:pPr>
        <w:pStyle w:val="Normal"/>
        <w:ind w:start="360" w:end="0"/>
        <w:rPr>
          <w:b/>
          <w:sz w:val="24"/>
        </w:rPr>
      </w:pPr>
      <w:r>
        <w:rPr>
          <w:b/>
          <w:sz w:val="24"/>
        </w:rPr>
      </w:r>
    </w:p>
    <w:p>
      <w:pPr>
        <w:pStyle w:val="BodyTextIndent2"/>
        <w:rPr/>
      </w:pPr>
      <w:r>
        <w:rPr/>
        <w:t>This material does not constitute an offer or invitation for the sale of securities or any interest herein.</w:t>
      </w:r>
    </w:p>
    <w:p>
      <w:pPr>
        <w:pStyle w:val="Normal"/>
        <w:ind w:start="360" w:end="0"/>
        <w:rPr>
          <w:sz w:val="24"/>
        </w:rPr>
      </w:pPr>
      <w:r>
        <w:rPr>
          <w:sz w:val="24"/>
        </w:rPr>
      </w:r>
    </w:p>
    <w:p>
      <w:pPr>
        <w:pStyle w:val="Normal"/>
        <w:ind w:start="360" w:end="0"/>
        <w:rPr>
          <w:sz w:val="24"/>
        </w:rPr>
      </w:pPr>
      <w:r>
        <w:rPr>
          <w:sz w:val="24"/>
        </w:rPr>
        <w:t>Should you have further questions, please contact Mr. David Grevelle in Enron’s London England office at 44-171-970-7264.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sz w:val="24"/>
    </w:rPr>
  </w:style>
  <w:style w:type="paragraph" w:styleId="BodyTextIndent2">
    <w:name w:val="Body Text Indent 2"/>
    <w:basedOn w:val="Normal"/>
    <w:qFormat/>
    <w:pPr>
      <w:ind w:hanging="0" w:start="360" w:end="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1999-10-06T17:57:00Z</dcterms:created>
  <dc:creator>David Grevelle</dc:creator>
  <dc:description/>
  <dc:language>en-CA</dc:language>
  <cp:lastModifiedBy>David Grevelle</cp:lastModifiedBy>
  <cp:lastPrinted>1999-10-06T20:40:00Z</cp:lastPrinted>
  <dcterms:modified xsi:type="dcterms:W3CDTF">1999-10-06T17:57:00Z</dcterms:modified>
  <cp:revision>2</cp:revision>
  <dc:subject/>
  <dc:title>E-Clearinghouse (EnClear, BizClear, eClearServices)</dc:title>
</cp:coreProperties>
</file>