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April 11,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Co-op Supply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Shawn Anderson</w:t>
            </w:r>
          </w:p>
          <w:p>
            <w:pPr>
              <w:pStyle w:val="Normal"/>
              <w:rPr>
                <w:rFonts w:ascii="Arial" w:hAnsi="Arial" w:cs="Arial"/>
              </w:rPr>
            </w:pPr>
            <w:r>
              <w:rPr>
                <w:rFonts w:cs="Arial" w:ascii="Arial" w:hAnsi="Arial"/>
              </w:rPr>
              <w:t>Jason Biever</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14MW retail supply arrangement to 127 store chain of supermarkets through Enron Direct (power sourced through ECC and ECPC under the PPA)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for 706 MW for a term of 20 years, commencing January 1, 2001.  Numerous ongoing activities respecting trading and origination opportunities, monetization structures, regulatory and market rule issues, system access and transmission issues, market surveillance,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p>
            <w:pPr>
              <w:pStyle w:val="Header"/>
              <w:tabs>
                <w:tab w:val="clear" w:pos="4320"/>
                <w:tab w:val="clear" w:pos="8640"/>
              </w:tabs>
              <w:jc w:val="both"/>
              <w:rPr>
                <w:rFonts w:ascii="Arial" w:hAnsi="Arial" w:cs="Arial"/>
              </w:rPr>
            </w:pPr>
            <w:r>
              <w:rPr>
                <w:rFonts w:cs="Arial" w:ascii="Arial" w:hAnsi="Arial"/>
              </w:rPr>
              <w:t>Negotiating proposed Change of Law insurance product.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Bowater Inc. (50+ MW), Cadillac Fairview (40+ MW), Nitrochem (6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1st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4 large Ontario Municipal Electrical Utilities.  Enron Canada to provide services and exclusive wholesale electricity supply.  Enron Canada to take a 20% equity share in the G-6 and be granted an option to increase holdings to 50%.  Definitive Agreements being reviewed by MEUs.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terms for extension and release of non-competes, failing market opening by July/01.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Kate Joslyn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  Negotiating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Bowater, Cadillac Fairview, Magna, Nitrochem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is being submitted.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31,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and coordinating actual assignments to satisfy conditions precedent to Assignment of long-term transportation capacity from Shell to Sierra through ECC/ENA.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BC Gas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Development of license and/or other documentation to permit Enron Online data to be posted by BC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Hunt Oil Company of Canada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Management Services Agreement relating to the management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Have 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Have 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April, 2001 (Peter Keohane).</w:t>
      </w:r>
    </w:p>
    <w:p>
      <w:pPr>
        <w:pStyle w:val="Normal"/>
        <w:numPr>
          <w:ilvl w:val="0"/>
          <w:numId w:val="1"/>
        </w:numPr>
        <w:jc w:val="both"/>
        <w:rPr>
          <w:rFonts w:ascii="Arial" w:hAnsi="Arial" w:cs="Arial"/>
          <w:sz w:val="22"/>
        </w:rPr>
      </w:pPr>
      <w:r>
        <w:rPr>
          <w:rFonts w:cs="Arial" w:ascii="Arial" w:hAnsi="Arial"/>
        </w:rPr>
        <w:t>NGX/Canadian Enerdata litigation (Peter Keohane) – Settlement discussions.  Exchange of draft Settlement Agreements providing for inclusion of EOL data into indices.</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/mnt/main-storage/datasets/enron-docs/doc/ECC_Monthly_Report.doc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/mnt/main-storage/datasets/enron-docs/doc/ECC_Monthly_Report.doc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2001-04-17T21:47:00Z</dcterms:created>
  <dc:creator>Linda Sietzema</dc:creator>
  <dc:description/>
  <dc:language>en-CA</dc:language>
  <cp:lastModifiedBy>jelbert</cp:lastModifiedBy>
  <cp:lastPrinted>2001-04-12T14:27:00Z</cp:lastPrinted>
  <dcterms:modified xsi:type="dcterms:W3CDTF">2001-04-17T21:47:00Z</dcterms:modified>
  <cp:revision>2</cp:revision>
  <dc:subject/>
  <dc:title>Legal Transaction Status Report – Enron NA</dc:title>
</cp:coreProperties>
</file>