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sz w:val="18"/>
        </w:rPr>
      </w:pPr>
      <w:r>
        <w:rPr>
          <w:rFonts w:cs="Times New Roman" w:ascii="Times New Roman" w:hAnsi="Times New Roman"/>
          <w:sz w:val="18"/>
        </w:rPr>
      </w:r>
    </w:p>
    <w:p>
      <w:pPr>
        <w:pStyle w:val="Normal"/>
        <w:rPr>
          <w:rFonts w:ascii="Times New Roman" w:hAnsi="Times New Roman" w:cs="Times New Roman"/>
          <w:sz w:val="18"/>
        </w:rPr>
      </w:pPr>
      <w:r>
        <w:rPr>
          <w:rFonts w:cs="Times New Roman" w:ascii="Times New Roman" w:hAnsi="Times New Roman"/>
          <w:sz w:val="18"/>
        </w:rPr>
      </w:r>
    </w:p>
    <w:p>
      <w:pPr>
        <w:pStyle w:val="Normal"/>
        <w:rPr>
          <w:rFonts w:ascii="Times New Roman" w:hAnsi="Times New Roman" w:cs="Times New Roman"/>
          <w:sz w:val="18"/>
        </w:rPr>
      </w:pPr>
      <w:r>
        <w:rPr>
          <w:rFonts w:cs="Times New Roman" w:ascii="Times New Roman" w:hAnsi="Times New Roman"/>
          <w:sz w:val="18"/>
        </w:rPr>
      </w:r>
    </w:p>
    <w:tbl>
      <w:tblPr>
        <w:tblW w:w="14580" w:type="dxa"/>
        <w:jc w:val="start"/>
        <w:tblInd w:w="-72" w:type="dxa"/>
        <w:tblLayout w:type="fixed"/>
        <w:tblCellMar>
          <w:top w:w="0" w:type="dxa"/>
          <w:start w:w="108" w:type="dxa"/>
          <w:bottom w:w="0" w:type="dxa"/>
          <w:end w:w="108" w:type="dxa"/>
        </w:tblCellMar>
      </w:tblPr>
      <w:tblGrid>
        <w:gridCol w:w="1890"/>
        <w:gridCol w:w="6660"/>
        <w:gridCol w:w="3600"/>
        <w:gridCol w:w="1440"/>
        <w:gridCol w:w="990"/>
      </w:tblGrid>
      <w:tr>
        <w:trPr>
          <w:tblHeader w:val="true"/>
        </w:trPr>
        <w:tc>
          <w:tcPr>
            <w:tcW w:w="1890" w:type="dxa"/>
            <w:tcBorders>
              <w:top w:val="single" w:sz="4" w:space="0" w:color="000000"/>
              <w:start w:val="single" w:sz="4" w:space="0" w:color="000000"/>
              <w:bottom w:val="single" w:sz="4" w:space="0" w:color="000000"/>
              <w:end w:val="single" w:sz="4" w:space="0" w:color="000000"/>
            </w:tcBorders>
          </w:tcPr>
          <w:p>
            <w:pPr>
              <w:pStyle w:val="Heading1"/>
              <w:spacing w:before="120" w:after="0"/>
              <w:ind w:hanging="0" w:start="72" w:end="0"/>
              <w:rPr>
                <w:sz w:val="18"/>
              </w:rPr>
            </w:pPr>
            <w:r>
              <w:rPr>
                <w:sz w:val="18"/>
              </w:rPr>
              <w:t>Legal Risk</w:t>
            </w:r>
          </w:p>
        </w:tc>
        <w:tc>
          <w:tcPr>
            <w:tcW w:w="6660" w:type="dxa"/>
            <w:tcBorders>
              <w:top w:val="single" w:sz="4" w:space="0" w:color="000000"/>
              <w:start w:val="single" w:sz="4" w:space="0" w:color="000000"/>
              <w:bottom w:val="single" w:sz="4" w:space="0" w:color="000000"/>
              <w:end w:val="single" w:sz="4" w:space="0" w:color="000000"/>
            </w:tcBorders>
          </w:tcPr>
          <w:p>
            <w:pPr>
              <w:pStyle w:val="Heading1"/>
              <w:spacing w:before="120" w:after="0"/>
              <w:ind w:hanging="0" w:start="0"/>
              <w:rPr>
                <w:sz w:val="18"/>
              </w:rPr>
            </w:pPr>
            <w:r>
              <w:rPr>
                <w:sz w:val="18"/>
              </w:rPr>
              <w:t>Issues</w:t>
            </w:r>
          </w:p>
        </w:tc>
        <w:tc>
          <w:tcPr>
            <w:tcW w:w="3600" w:type="dxa"/>
            <w:tcBorders>
              <w:top w:val="single" w:sz="4" w:space="0" w:color="000000"/>
              <w:start w:val="single" w:sz="4" w:space="0" w:color="000000"/>
              <w:bottom w:val="single" w:sz="4" w:space="0" w:color="000000"/>
              <w:end w:val="single" w:sz="4" w:space="0" w:color="000000"/>
            </w:tcBorders>
          </w:tcPr>
          <w:p>
            <w:pPr>
              <w:pStyle w:val="Normal"/>
              <w:spacing w:before="120" w:after="0"/>
              <w:ind w:start="230" w:end="0"/>
              <w:jc w:val="center"/>
              <w:rPr>
                <w:rFonts w:ascii="Times New Roman" w:hAnsi="Times New Roman" w:cs="Times New Roman"/>
                <w:sz w:val="18"/>
              </w:rPr>
            </w:pPr>
            <w:r>
              <w:rPr>
                <w:rFonts w:cs="Times New Roman" w:ascii="Times New Roman" w:hAnsi="Times New Roman"/>
                <w:b/>
                <w:smallCaps/>
                <w:sz w:val="18"/>
              </w:rPr>
              <w:t>Risk Amount</w:t>
            </w:r>
          </w:p>
        </w:tc>
        <w:tc>
          <w:tcPr>
            <w:tcW w:w="1440" w:type="dxa"/>
            <w:tcBorders>
              <w:top w:val="single" w:sz="4" w:space="0" w:color="000000"/>
              <w:start w:val="single" w:sz="4" w:space="0" w:color="000000"/>
              <w:bottom w:val="single" w:sz="4" w:space="0" w:color="000000"/>
              <w:end w:val="single" w:sz="4" w:space="0" w:color="000000"/>
            </w:tcBorders>
          </w:tcPr>
          <w:p>
            <w:pPr>
              <w:pStyle w:val="Heading2"/>
              <w:spacing w:before="0" w:after="0"/>
              <w:ind w:hanging="0" w:start="-115" w:end="0"/>
              <w:jc w:val="center"/>
              <w:rPr>
                <w:sz w:val="18"/>
              </w:rPr>
            </w:pPr>
            <w:r>
              <w:rPr>
                <w:sz w:val="18"/>
              </w:rPr>
              <w:t>Accounting/</w:t>
            </w:r>
          </w:p>
          <w:p>
            <w:pPr>
              <w:pStyle w:val="Heading2"/>
              <w:spacing w:before="0" w:after="0"/>
              <w:ind w:hanging="0" w:start="-115" w:end="0"/>
              <w:jc w:val="center"/>
              <w:rPr>
                <w:sz w:val="18"/>
              </w:rPr>
            </w:pPr>
            <w:r>
              <w:rPr>
                <w:sz w:val="18"/>
              </w:rPr>
              <w:t>Timing</w:t>
            </w:r>
          </w:p>
        </w:tc>
        <w:tc>
          <w:tcPr>
            <w:tcW w:w="990" w:type="dxa"/>
            <w:tcBorders>
              <w:top w:val="single" w:sz="4" w:space="0" w:color="000000"/>
              <w:start w:val="single" w:sz="4" w:space="0" w:color="000000"/>
              <w:bottom w:val="single" w:sz="4" w:space="0" w:color="000000"/>
              <w:end w:val="single" w:sz="4" w:space="0" w:color="000000"/>
            </w:tcBorders>
          </w:tcPr>
          <w:p>
            <w:pPr>
              <w:pStyle w:val="Heading2"/>
              <w:spacing w:before="0" w:after="0"/>
              <w:ind w:hanging="0" w:start="-115" w:end="0"/>
              <w:jc w:val="center"/>
              <w:rPr>
                <w:sz w:val="18"/>
              </w:rPr>
            </w:pPr>
            <w:r>
              <w:rPr>
                <w:sz w:val="18"/>
              </w:rPr>
              <w:t>Risk Direction</w:t>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Alberta Sundance "B" PPA acquired in the August, 2000 Alberta PPA auction</w:t>
            </w:r>
          </w:p>
        </w:tc>
        <w:tc>
          <w:tcPr>
            <w:tcW w:w="666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18"/>
              </w:rPr>
            </w:pPr>
            <w:r>
              <w:rPr>
                <w:rFonts w:cs="Times New Roman" w:ascii="Times New Roman" w:hAnsi="Times New Roman"/>
                <w:sz w:val="18"/>
              </w:rPr>
              <w:t>The PPA is a 706 megawatt 24x7x365 x 20 year commitment for which an upfront payment of Cdn. $300 million was paid and an obligation to pay the fixed and variable operating costs of the Sundance "B" Unit assumed.  The material risks are:</w:t>
            </w:r>
          </w:p>
          <w:p>
            <w:pPr>
              <w:pStyle w:val="Normal"/>
              <w:numPr>
                <w:ilvl w:val="0"/>
                <w:numId w:val="7"/>
              </w:numPr>
              <w:tabs>
                <w:tab w:val="clear" w:pos="720"/>
                <w:tab w:val="left" w:pos="425" w:leader="none"/>
              </w:tabs>
              <w:ind w:hanging="425" w:start="425" w:end="0"/>
              <w:rPr>
                <w:rFonts w:ascii="Times New Roman" w:hAnsi="Times New Roman" w:cs="Times New Roman"/>
                <w:sz w:val="18"/>
              </w:rPr>
            </w:pPr>
            <w:r>
              <w:rPr>
                <w:rFonts w:cs="Times New Roman" w:ascii="Times New Roman" w:hAnsi="Times New Roman"/>
                <w:sz w:val="18"/>
              </w:rPr>
              <w:t xml:space="preserve">the legal nature of the PPAs, which are not contracts but unsigned "arrangements" under the </w:t>
            </w:r>
            <w:r>
              <w:rPr>
                <w:rFonts w:cs="Times New Roman" w:ascii="Times New Roman" w:hAnsi="Times New Roman"/>
                <w:i/>
                <w:sz w:val="18"/>
              </w:rPr>
              <w:t>Electric Utilities Act</w:t>
            </w:r>
            <w:r>
              <w:rPr>
                <w:rFonts w:cs="Times New Roman" w:ascii="Times New Roman" w:hAnsi="Times New Roman"/>
                <w:sz w:val="18"/>
              </w:rPr>
              <w:t xml:space="preserve"> (Alberta);</w:t>
            </w:r>
          </w:p>
          <w:p>
            <w:pPr>
              <w:pStyle w:val="Normal"/>
              <w:numPr>
                <w:ilvl w:val="0"/>
                <w:numId w:val="7"/>
              </w:numPr>
              <w:tabs>
                <w:tab w:val="clear" w:pos="720"/>
                <w:tab w:val="left" w:pos="425" w:leader="none"/>
              </w:tabs>
              <w:ind w:hanging="425" w:start="425" w:end="0"/>
              <w:rPr>
                <w:rFonts w:ascii="Times New Roman" w:hAnsi="Times New Roman" w:cs="Times New Roman"/>
                <w:sz w:val="18"/>
              </w:rPr>
            </w:pPr>
            <w:r>
              <w:rPr>
                <w:rFonts w:cs="Times New Roman" w:ascii="Times New Roman" w:hAnsi="Times New Roman"/>
                <w:sz w:val="18"/>
              </w:rPr>
              <w:t>counterparty risk, as the PPAs have no credit, financial or asset maintenance or collateralization mechanisms;</w:t>
            </w:r>
          </w:p>
          <w:p>
            <w:pPr>
              <w:pStyle w:val="Normal"/>
              <w:numPr>
                <w:ilvl w:val="0"/>
                <w:numId w:val="7"/>
              </w:numPr>
              <w:tabs>
                <w:tab w:val="clear" w:pos="720"/>
                <w:tab w:val="left" w:pos="425" w:leader="none"/>
              </w:tabs>
              <w:ind w:hanging="425" w:start="425" w:end="0"/>
              <w:rPr>
                <w:rFonts w:ascii="Times New Roman" w:hAnsi="Times New Roman" w:cs="Times New Roman"/>
                <w:sz w:val="18"/>
              </w:rPr>
            </w:pPr>
            <w:r>
              <w:rPr>
                <w:rFonts w:cs="Times New Roman" w:ascii="Times New Roman" w:hAnsi="Times New Roman"/>
                <w:sz w:val="18"/>
              </w:rPr>
              <w:t>the unit contingent, non-firm, interruptible nature of the PPAs, but with a continuing obligation to pay fixed costs;</w:t>
            </w:r>
          </w:p>
          <w:p>
            <w:pPr>
              <w:pStyle w:val="Normal"/>
              <w:numPr>
                <w:ilvl w:val="0"/>
                <w:numId w:val="7"/>
              </w:numPr>
              <w:tabs>
                <w:tab w:val="clear" w:pos="720"/>
                <w:tab w:val="left" w:pos="425" w:leader="none"/>
              </w:tabs>
              <w:ind w:hanging="425" w:start="425" w:end="0"/>
              <w:rPr>
                <w:rFonts w:ascii="Times New Roman" w:hAnsi="Times New Roman" w:cs="Times New Roman"/>
                <w:sz w:val="18"/>
              </w:rPr>
            </w:pPr>
            <w:r>
              <w:rPr>
                <w:rFonts w:cs="Times New Roman" w:ascii="Times New Roman" w:hAnsi="Times New Roman"/>
                <w:sz w:val="18"/>
              </w:rPr>
              <w:t>complicated termination events and rights which can result in loss of all or a portion of the upfront payment and marked-to-market positions, and exposure to liquidated damages claims;</w:t>
            </w:r>
          </w:p>
          <w:p>
            <w:pPr>
              <w:pStyle w:val="Normal"/>
              <w:numPr>
                <w:ilvl w:val="0"/>
                <w:numId w:val="7"/>
              </w:numPr>
              <w:tabs>
                <w:tab w:val="clear" w:pos="720"/>
                <w:tab w:val="left" w:pos="425" w:leader="none"/>
              </w:tabs>
              <w:ind w:hanging="425" w:start="425" w:end="0"/>
              <w:rPr>
                <w:rFonts w:ascii="Times New Roman" w:hAnsi="Times New Roman" w:cs="Times New Roman"/>
                <w:sz w:val="18"/>
              </w:rPr>
            </w:pPr>
            <w:r>
              <w:rPr>
                <w:rFonts w:cs="Times New Roman" w:ascii="Times New Roman" w:hAnsi="Times New Roman"/>
                <w:sz w:val="18"/>
              </w:rPr>
              <w:t>assumption of economic consequences of change in law affecting the operating requirements;</w:t>
            </w:r>
          </w:p>
          <w:p>
            <w:pPr>
              <w:pStyle w:val="Normal"/>
              <w:numPr>
                <w:ilvl w:val="0"/>
                <w:numId w:val="7"/>
              </w:numPr>
              <w:tabs>
                <w:tab w:val="clear" w:pos="720"/>
                <w:tab w:val="left" w:pos="425" w:leader="none"/>
              </w:tabs>
              <w:ind w:hanging="425" w:start="425" w:end="0"/>
              <w:rPr>
                <w:rFonts w:ascii="Times New Roman" w:hAnsi="Times New Roman" w:cs="Times New Roman"/>
                <w:sz w:val="18"/>
              </w:rPr>
            </w:pPr>
            <w:r>
              <w:rPr>
                <w:rFonts w:cs="Times New Roman" w:ascii="Times New Roman" w:hAnsi="Times New Roman"/>
                <w:sz w:val="18"/>
              </w:rPr>
              <w:t>allocation of force majeure risk and destruction risk;</w:t>
            </w:r>
          </w:p>
          <w:p>
            <w:pPr>
              <w:pStyle w:val="Normal"/>
              <w:numPr>
                <w:ilvl w:val="0"/>
                <w:numId w:val="7"/>
              </w:numPr>
              <w:tabs>
                <w:tab w:val="clear" w:pos="720"/>
                <w:tab w:val="left" w:pos="425" w:leader="none"/>
              </w:tabs>
              <w:ind w:hanging="425" w:start="425" w:end="0"/>
              <w:rPr>
                <w:rFonts w:ascii="Times New Roman" w:hAnsi="Times New Roman" w:cs="Times New Roman"/>
                <w:sz w:val="18"/>
              </w:rPr>
            </w:pPr>
            <w:r>
              <w:rPr>
                <w:rFonts w:cs="Times New Roman" w:ascii="Times New Roman" w:hAnsi="Times New Roman"/>
                <w:sz w:val="18"/>
              </w:rPr>
              <w:t>calculation of cover damages and replacement price differentials;</w:t>
            </w:r>
          </w:p>
          <w:p>
            <w:pPr>
              <w:pStyle w:val="Normal"/>
              <w:numPr>
                <w:ilvl w:val="0"/>
                <w:numId w:val="7"/>
              </w:numPr>
              <w:tabs>
                <w:tab w:val="clear" w:pos="720"/>
                <w:tab w:val="left" w:pos="425" w:leader="none"/>
              </w:tabs>
              <w:ind w:hanging="425" w:start="425" w:end="0"/>
              <w:rPr>
                <w:rFonts w:ascii="Times New Roman" w:hAnsi="Times New Roman" w:cs="Times New Roman"/>
                <w:sz w:val="18"/>
              </w:rPr>
            </w:pPr>
            <w:r>
              <w:rPr>
                <w:rFonts w:cs="Times New Roman" w:ascii="Times New Roman" w:hAnsi="Times New Roman"/>
                <w:sz w:val="18"/>
              </w:rPr>
              <w:t>assumption of variable operating costs, without operating control; and</w:t>
            </w:r>
          </w:p>
          <w:p>
            <w:pPr>
              <w:pStyle w:val="Normal"/>
              <w:numPr>
                <w:ilvl w:val="0"/>
                <w:numId w:val="7"/>
              </w:numPr>
              <w:tabs>
                <w:tab w:val="clear" w:pos="720"/>
                <w:tab w:val="left" w:pos="425" w:leader="none"/>
              </w:tabs>
              <w:ind w:hanging="425" w:start="425" w:end="0"/>
              <w:rPr>
                <w:rFonts w:ascii="Times New Roman" w:hAnsi="Times New Roman" w:cs="Times New Roman"/>
                <w:sz w:val="18"/>
              </w:rPr>
            </w:pPr>
            <w:r>
              <w:rPr>
                <w:rFonts w:cs="Times New Roman" w:ascii="Times New Roman" w:hAnsi="Times New Roman"/>
                <w:sz w:val="18"/>
              </w:rPr>
              <w:t>compliance with environmental and permitting requirements.</w:t>
            </w:r>
          </w:p>
          <w:p>
            <w:pPr>
              <w:pStyle w:val="FootnoteText"/>
              <w:spacing w:before="60" w:after="60"/>
              <w:rPr>
                <w:rFonts w:ascii="Times New Roman" w:hAnsi="Times New Roman" w:cs="Times New Roman"/>
                <w:sz w:val="18"/>
              </w:rPr>
            </w:pPr>
            <w:r>
              <w:rPr>
                <w:rFonts w:cs="Times New Roman"/>
                <w:sz w:val="18"/>
              </w:rPr>
            </w:r>
          </w:p>
        </w:tc>
        <w:tc>
          <w:tcPr>
            <w:tcW w:w="3600" w:type="dxa"/>
            <w:tcBorders>
              <w:top w:val="single" w:sz="4" w:space="0" w:color="000000"/>
              <w:start w:val="single" w:sz="4" w:space="0" w:color="000000"/>
              <w:bottom w:val="single" w:sz="4" w:space="0" w:color="000000"/>
              <w:end w:val="single" w:sz="4" w:space="0" w:color="000000"/>
            </w:tcBorders>
          </w:tcPr>
          <w:p>
            <w:pPr>
              <w:pStyle w:val="FootnoteText"/>
              <w:tabs>
                <w:tab w:val="clear" w:pos="720"/>
                <w:tab w:val="left" w:pos="252" w:leader="none"/>
              </w:tabs>
              <w:spacing w:before="60" w:after="60"/>
              <w:ind w:hanging="252" w:start="252" w:end="0"/>
              <w:rPr/>
            </w:pPr>
            <w:r>
              <w:rPr>
                <w:rFonts w:eastAsia="Symbol" w:cs="Symbol" w:ascii="Symbol" w:hAnsi="Symbol"/>
                <w:sz w:val="18"/>
              </w:rPr>
              <w:sym w:font="Symbol" w:char="f0b7"/>
            </w:r>
            <w:r>
              <w:rPr>
                <w:sz w:val="18"/>
              </w:rPr>
              <w:tab/>
              <w:t>Risk amount is difficult to quantify and would depend upon various different contingencies.  Please see DASH applicable to this project.  The Sundance "B" PPA represents the longest commodity position within ENA.</w:t>
            </w:r>
          </w:p>
        </w:tc>
        <w:tc>
          <w:tcPr>
            <w:tcW w:w="144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20 year term commencing January 1, 2001</w:t>
            </w:r>
          </w:p>
        </w:tc>
        <w:tc>
          <w:tcPr>
            <w:tcW w:w="990" w:type="dxa"/>
            <w:tcBorders>
              <w:top w:val="single" w:sz="4" w:space="0" w:color="000000"/>
              <w:start w:val="single" w:sz="4" w:space="0" w:color="000000"/>
              <w:bottom w:val="single" w:sz="4" w:space="0" w:color="000000"/>
              <w:end w:val="single" w:sz="4" w:space="0" w:color="000000"/>
            </w:tcBorders>
          </w:tcPr>
          <w:p>
            <w:pPr>
              <w:pStyle w:val="FootnoteText"/>
              <w:spacing w:before="60" w:after="60"/>
              <w:jc w:val="center"/>
              <w:rPr>
                <w:sz w:val="18"/>
              </w:rPr>
            </w:pPr>
            <w:r>
              <w:rPr>
                <w:rFonts w:eastAsia="Wingdings" w:cs="Wingdings" w:ascii="Wingdings" w:hAnsi="Wingdings"/>
                <w:sz w:val="18"/>
              </w:rPr>
              <w:sym w:font="Wingdings" w:char="f0e9"/>
            </w:r>
          </w:p>
        </w:tc>
      </w:tr>
    </w:tbl>
    <w:p>
      <w:pPr>
        <w:pStyle w:val="Normal"/>
        <w:rPr>
          <w:rFonts w:ascii="Times New Roman" w:hAnsi="Times New Roman" w:cs="Times New Roman"/>
          <w:sz w:val="18"/>
        </w:rPr>
      </w:pPr>
      <w:r>
        <w:rPr>
          <w:rFonts w:cs="Times New Roman" w:ascii="Times New Roman" w:hAnsi="Times New Roman"/>
          <w:sz w:val="18"/>
        </w:rPr>
      </w:r>
    </w:p>
    <w:sectPr>
      <w:footerReference w:type="default" r:id="rId2"/>
      <w:type w:val="nextPage"/>
      <w:pgSz w:orient="landscape" w:w="15840" w:h="12240"/>
      <w:pgMar w:left="720" w:right="720" w:gutter="0" w:header="0" w:top="720" w:footer="288"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/mnt/main-storage/datasets/enron-docs/doc/ECC_Legal_Risk-2deb12cdf4e64785e9c5628eb0e1ca99f260dc10d1253bc25b5f317a9d173259.doc</w:t>
    </w:r>
    <w:r>
      <w:rPr>
        <w:sz w:val="16"/>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2160"/>
        </w:tabs>
        <w:ind w:start="2160" w:hanging="720"/>
      </w:pPr>
      <w:rPr>
        <w:sz w:val="22"/>
        <w:rFonts w:ascii="Arial" w:hAnsi="Arial" w:cs="Arial"/>
      </w:rPr>
    </w:lvl>
    <w:lvl w:ilvl="1">
      <w:start w:val="1"/>
      <w:numFmt w:val="lowerLetter"/>
      <w:lvlText w:val="(%2)"/>
      <w:lvlJc w:val="start"/>
      <w:pPr>
        <w:tabs>
          <w:tab w:val="num" w:pos="1440"/>
        </w:tabs>
        <w:ind w:start="1440" w:hanging="720"/>
      </w:pPr>
    </w:lvl>
    <w:lvl w:ilvl="2">
      <w:start w:val="1"/>
      <w:numFmt w:val="lowerRoman"/>
      <w:lvlText w:val="%3)"/>
      <w:lvlJc w:val="start"/>
      <w:pPr>
        <w:tabs>
          <w:tab w:val="num" w:pos="2160"/>
        </w:tabs>
        <w:ind w:start="2160" w:hanging="720"/>
      </w:pPr>
    </w:lvl>
    <w:lvl w:ilvl="3">
      <w:start w:val="1"/>
      <w:numFmt w:val="decimal"/>
      <w:lvlText w:val="(%4)"/>
      <w:lvlJc w:val="start"/>
      <w:pPr>
        <w:tabs>
          <w:tab w:val="num" w:pos="2880"/>
        </w:tabs>
        <w:ind w:start="2880" w:hanging="72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3">
    <w:lvl w:ilvl="0">
      <w:start w:val="1"/>
      <w:numFmt w:val="lowerLetter"/>
      <w:lvlText w:val="(%1)"/>
      <w:lvlJc w:val="start"/>
      <w:pPr>
        <w:tabs>
          <w:tab w:val="num" w:pos="1440"/>
        </w:tabs>
        <w:ind w:start="1440" w:hanging="720"/>
      </w:pPr>
      <w:rPr>
        <w:sz w:val="22"/>
        <w:rFonts w:ascii="Arial" w:hAnsi="Arial" w:cs="Arial"/>
      </w:rPr>
    </w:lvl>
    <w:lvl w:ilvl="1">
      <w:start w:val="1"/>
      <w:numFmt w:val="lowerLetter"/>
      <w:lvlText w:val="(%2)"/>
      <w:lvlJc w:val="start"/>
      <w:pPr>
        <w:tabs>
          <w:tab w:val="num" w:pos="1440"/>
        </w:tabs>
        <w:ind w:start="1440" w:hanging="720"/>
      </w:pPr>
    </w:lvl>
    <w:lvl w:ilvl="2">
      <w:start w:val="1"/>
      <w:numFmt w:val="lowerRoman"/>
      <w:lvlText w:val="%3)"/>
      <w:lvlJc w:val="start"/>
      <w:pPr>
        <w:tabs>
          <w:tab w:val="num" w:pos="2160"/>
        </w:tabs>
        <w:ind w:start="2160" w:hanging="720"/>
      </w:pPr>
    </w:lvl>
    <w:lvl w:ilvl="3">
      <w:start w:val="1"/>
      <w:numFmt w:val="decimal"/>
      <w:lvlText w:val="(%4)"/>
      <w:lvlJc w:val="start"/>
      <w:pPr>
        <w:tabs>
          <w:tab w:val="num" w:pos="2880"/>
        </w:tabs>
        <w:ind w:start="2880" w:hanging="72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4">
    <w:lvl w:ilvl="0">
      <w:start w:val="1"/>
      <w:numFmt w:val="decimal"/>
      <w:lvlText w:val="Section %1"/>
      <w:lvlJc w:val="start"/>
      <w:pPr>
        <w:tabs>
          <w:tab w:val="num" w:pos="1080"/>
        </w:tabs>
        <w:ind w:start="0" w:hanging="0"/>
      </w:pPr>
      <w:rPr>
        <w:sz w:val="22"/>
        <w:i w:val="false"/>
        <w:b/>
        <w:rFonts w:ascii="Arial" w:hAnsi="Arial" w:cs="Arial"/>
      </w:rPr>
    </w:lvl>
  </w:abstractNum>
  <w:abstractNum w:abstractNumId="5">
    <w:lvl w:ilvl="0">
      <w:start w:val="1"/>
      <w:numFmt w:val="decimal"/>
      <w:lvlText w:val="Article %1"/>
      <w:lvlJc w:val="start"/>
      <w:pPr>
        <w:tabs>
          <w:tab w:val="num" w:pos="1080"/>
        </w:tabs>
        <w:ind w:start="0" w:hanging="0"/>
      </w:pPr>
      <w:rPr>
        <w:sz w:val="22"/>
        <w:i w:val="false"/>
        <w:b/>
        <w:rFonts w:ascii="Arial" w:hAnsi="Arial" w:cs="Arial"/>
      </w:rPr>
    </w:lvl>
  </w:abstractNum>
  <w:abstractNum w:abstractNumId="6">
    <w:lvl w:ilvl="0">
      <w:start w:val="1"/>
      <w:numFmt w:val="upperLetter"/>
      <w:lvlText w:val="(%1)"/>
      <w:lvlJc w:val="start"/>
      <w:pPr>
        <w:tabs>
          <w:tab w:val="num" w:pos="2880"/>
        </w:tabs>
        <w:ind w:start="2880" w:hanging="720"/>
      </w:pPr>
      <w:rPr>
        <w:sz w:val="22"/>
        <w:rFonts w:ascii="Arial" w:hAnsi="Arial" w:cs="Arial"/>
      </w:rPr>
    </w:lvl>
    <w:lvl w:ilvl="1">
      <w:start w:val="1"/>
      <w:numFmt w:val="lowerLetter"/>
      <w:lvlText w:val="(%2)"/>
      <w:lvlJc w:val="start"/>
      <w:pPr>
        <w:tabs>
          <w:tab w:val="num" w:pos="1440"/>
        </w:tabs>
        <w:ind w:start="1440" w:hanging="720"/>
      </w:pPr>
    </w:lvl>
    <w:lvl w:ilvl="2">
      <w:start w:val="1"/>
      <w:numFmt w:val="lowerRoman"/>
      <w:lvlText w:val="%3)"/>
      <w:lvlJc w:val="start"/>
      <w:pPr>
        <w:tabs>
          <w:tab w:val="num" w:pos="2160"/>
        </w:tabs>
        <w:ind w:start="2160" w:hanging="720"/>
      </w:pPr>
    </w:lvl>
    <w:lvl w:ilvl="3">
      <w:start w:val="1"/>
      <w:numFmt w:val="decimal"/>
      <w:lvlText w:val="(%4)"/>
      <w:lvlJc w:val="start"/>
      <w:pPr>
        <w:tabs>
          <w:tab w:val="num" w:pos="2880"/>
        </w:tabs>
        <w:ind w:start="2880" w:hanging="72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7">
    <w:lvl w:ilvl="0">
      <w:start w:val="1"/>
      <w:numFmt w:val="decimal"/>
      <w:lvlText w:val="(%1)"/>
      <w:lvlJc w:val="start"/>
      <w:pPr>
        <w:tabs>
          <w:tab w:val="num" w:pos="720"/>
        </w:tabs>
        <w:ind w:start="720" w:hanging="720"/>
      </w:pPr>
      <w:rPr/>
    </w:lvl>
  </w:abstractNum>
  <w:abstractNum w:abstractNumId="8">
    <w:lvl w:ilvl="0">
      <w:start w:val="1"/>
      <w:numFmt w:val="decimal"/>
      <w:lvlText w:val="%1."/>
      <w:lvlJc w:val="start"/>
      <w:pPr>
        <w:tabs>
          <w:tab w:val="num" w:pos="720"/>
        </w:tabs>
        <w:ind w:start="720" w:hanging="720"/>
      </w:pPr>
      <w:rPr>
        <w:sz w:val="22"/>
        <w:rFonts w:ascii="Arial" w:hAnsi="Arial" w:cs="Arial"/>
      </w:rPr>
    </w:lvl>
    <w:lvl w:ilvl="1">
      <w:start w:val="1"/>
      <w:numFmt w:val="lowerLetter"/>
      <w:lvlText w:val="(%2)"/>
      <w:lvlJc w:val="start"/>
      <w:pPr>
        <w:tabs>
          <w:tab w:val="num" w:pos="1440"/>
        </w:tabs>
        <w:ind w:start="1440" w:hanging="720"/>
      </w:pPr>
    </w:lvl>
    <w:lvl w:ilvl="2">
      <w:start w:val="1"/>
      <w:numFmt w:val="lowerRoman"/>
      <w:lvlText w:val="%3)"/>
      <w:lvlJc w:val="start"/>
      <w:pPr>
        <w:tabs>
          <w:tab w:val="num" w:pos="2160"/>
        </w:tabs>
        <w:ind w:start="2160" w:hanging="720"/>
      </w:pPr>
    </w:lvl>
    <w:lvl w:ilvl="3">
      <w:start w:val="1"/>
      <w:numFmt w:val="decimal"/>
      <w:lvlText w:val="(%4)"/>
      <w:lvlJc w:val="start"/>
      <w:pPr>
        <w:tabs>
          <w:tab w:val="num" w:pos="2880"/>
        </w:tabs>
        <w:ind w:start="2880" w:hanging="72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2"/>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Times New Roman" w:hAnsi="Times New Roman" w:cs="Times New Roman"/>
      <w:b/>
      <w:smallCaps/>
    </w:rPr>
  </w:style>
  <w:style w:type="paragraph" w:styleId="Heading2">
    <w:name w:val="heading 2"/>
    <w:basedOn w:val="Normal"/>
    <w:next w:val="Normal"/>
    <w:qFormat/>
    <w:pPr>
      <w:keepNext w:val="true"/>
      <w:numPr>
        <w:ilvl w:val="1"/>
        <w:numId w:val="1"/>
      </w:numPr>
      <w:spacing w:before="120" w:after="120"/>
      <w:outlineLvl w:val="1"/>
    </w:pPr>
    <w:rPr>
      <w:rFonts w:ascii="Times New Roman" w:hAnsi="Times New Roman" w:cs="Times New Roman"/>
      <w:b/>
      <w:smallCaps/>
      <w:sz w:val="20"/>
    </w:rPr>
  </w:style>
  <w:style w:type="character" w:styleId="WW8Num1z0">
    <w:name w:val="WW8Num1z0"/>
    <w:qFormat/>
    <w:rPr>
      <w:rFonts w:ascii="Arial" w:hAnsi="Arial" w:cs="Arial"/>
      <w:sz w:val="22"/>
    </w:rPr>
  </w:style>
  <w:style w:type="character" w:styleId="WW8Num2z0">
    <w:name w:val="WW8Num2z0"/>
    <w:qFormat/>
    <w:rPr>
      <w:rFonts w:ascii="Arial" w:hAnsi="Arial" w:cs="Arial"/>
      <w:sz w:val="22"/>
    </w:rPr>
  </w:style>
  <w:style w:type="character" w:styleId="WW8Num3z0">
    <w:name w:val="WW8Num3z0"/>
    <w:qFormat/>
    <w:rPr>
      <w:rFonts w:ascii="Symbol" w:hAnsi="Symbol" w:cs="Symbol"/>
    </w:rPr>
  </w:style>
  <w:style w:type="character" w:styleId="WW8Num4z0">
    <w:name w:val="WW8Num4z0"/>
    <w:qFormat/>
    <w:rPr>
      <w:rFonts w:ascii="Arial" w:hAnsi="Arial" w:cs="Arial"/>
      <w:b/>
      <w:i w:val="false"/>
      <w:sz w:val="22"/>
    </w:rPr>
  </w:style>
  <w:style w:type="character" w:styleId="WW8Num5z0">
    <w:name w:val="WW8Num5z0"/>
    <w:qFormat/>
    <w:rPr>
      <w:rFonts w:ascii="Arial" w:hAnsi="Arial" w:cs="Arial"/>
      <w:b/>
      <w:i w:val="false"/>
      <w:sz w:val="22"/>
    </w:rPr>
  </w:style>
  <w:style w:type="character" w:styleId="WW8Num6z0">
    <w:name w:val="WW8Num6z0"/>
    <w:qFormat/>
    <w:rPr/>
  </w:style>
  <w:style w:type="character" w:styleId="WW8Num6z1">
    <w:name w:val="WW8Num6z1"/>
    <w:qFormat/>
    <w:rPr>
      <w:rFonts w:ascii="Symbol" w:hAnsi="Symbol" w:cs="Symbol"/>
    </w:rPr>
  </w:style>
  <w:style w:type="character" w:styleId="WW8Num7z0">
    <w:name w:val="WW8Num7z0"/>
    <w:qFormat/>
    <w:rPr>
      <w:rFonts w:ascii="Arial" w:hAnsi="Arial" w:cs="Arial"/>
      <w:sz w:val="22"/>
    </w:rPr>
  </w:style>
  <w:style w:type="character" w:styleId="WW8Num8z0">
    <w:name w:val="WW8Num8z0"/>
    <w:qFormat/>
    <w:rPr>
      <w:rFonts w:ascii="Arial" w:hAnsi="Arial" w:cs="Arial"/>
      <w:b/>
      <w:i w:val="false"/>
      <w:sz w:val="22"/>
    </w:rPr>
  </w:style>
  <w:style w:type="character" w:styleId="WW8Num9z0">
    <w:name w:val="WW8Num9z0"/>
    <w:qFormat/>
    <w:rPr>
      <w:rFonts w:ascii="Symbol" w:hAnsi="Symbol" w:cs="Symbol"/>
    </w:rPr>
  </w:style>
  <w:style w:type="character" w:styleId="WW8Num11z0">
    <w:name w:val="WW8Num11z0"/>
    <w:qFormat/>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Arial" w:hAnsi="Arial" w:cs="Arial"/>
      <w:b/>
      <w:i w:val="false"/>
      <w:sz w:val="22"/>
    </w:rPr>
  </w:style>
  <w:style w:type="character" w:styleId="WW8Num14z0">
    <w:name w:val="WW8Num14z0"/>
    <w:qFormat/>
    <w:rPr>
      <w:rFonts w:ascii="Arial" w:hAnsi="Arial" w:cs="Arial"/>
      <w:sz w:val="22"/>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haron1">
    <w:name w:val="Sharon1"/>
    <w:basedOn w:val="Normal"/>
    <w:qFormat/>
    <w:pPr>
      <w:numPr>
        <w:ilvl w:val="0"/>
        <w:numId w:val="8"/>
      </w:numPr>
      <w:spacing w:before="0" w:after="240"/>
      <w:jc w:val="both"/>
    </w:pPr>
    <w:rPr/>
  </w:style>
  <w:style w:type="paragraph" w:styleId="Sharon2">
    <w:name w:val="Sharon2"/>
    <w:basedOn w:val="Normal"/>
    <w:qFormat/>
    <w:pPr>
      <w:numPr>
        <w:ilvl w:val="0"/>
        <w:numId w:val="3"/>
      </w:numPr>
      <w:spacing w:before="0" w:after="240"/>
      <w:jc w:val="both"/>
    </w:pPr>
    <w:rPr/>
  </w:style>
  <w:style w:type="paragraph" w:styleId="Sharon3">
    <w:name w:val="Sharon3"/>
    <w:basedOn w:val="Normal"/>
    <w:qFormat/>
    <w:pPr>
      <w:numPr>
        <w:ilvl w:val="0"/>
        <w:numId w:val="2"/>
      </w:numPr>
      <w:spacing w:before="0" w:after="240"/>
      <w:jc w:val="both"/>
    </w:pPr>
    <w:rPr/>
  </w:style>
  <w:style w:type="paragraph" w:styleId="Sharon4">
    <w:name w:val="Sharon4"/>
    <w:basedOn w:val="Normal"/>
    <w:qFormat/>
    <w:pPr>
      <w:numPr>
        <w:ilvl w:val="0"/>
        <w:numId w:val="6"/>
      </w:numPr>
      <w:spacing w:before="0" w:after="240"/>
      <w:jc w:val="both"/>
    </w:pPr>
    <w:rPr/>
  </w:style>
  <w:style w:type="paragraph" w:styleId="Article1">
    <w:name w:val="Article1"/>
    <w:basedOn w:val="Normal"/>
    <w:qFormat/>
    <w:pPr>
      <w:numPr>
        <w:ilvl w:val="0"/>
        <w:numId w:val="5"/>
      </w:numPr>
      <w:jc w:val="center"/>
    </w:pPr>
    <w:rPr>
      <w:b/>
    </w:rPr>
  </w:style>
  <w:style w:type="paragraph" w:styleId="Article2">
    <w:name w:val="Article2"/>
    <w:basedOn w:val="Normal"/>
    <w:qFormat/>
    <w:pPr>
      <w:numPr>
        <w:ilvl w:val="0"/>
        <w:numId w:val="4"/>
      </w:numPr>
    </w:pPr>
    <w:rPr/>
  </w:style>
  <w:style w:type="paragraph" w:styleId="FootnoteText">
    <w:name w:val="footnote text"/>
    <w:basedOn w:val="Normal"/>
    <w:pPr/>
    <w:rPr>
      <w:rFonts w:ascii="Times New Roman" w:hAnsi="Times New Roman" w:cs="Times New Roman"/>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2000-10-26T13:06:00Z</dcterms:created>
  <dc:creator>scrawfo3</dc:creator>
  <dc:description/>
  <dc:language>en-CA</dc:language>
  <cp:lastModifiedBy>scrawfo3</cp:lastModifiedBy>
  <cp:lastPrinted>2000-10-26T15:32:00Z</cp:lastPrinted>
  <dcterms:modified xsi:type="dcterms:W3CDTF">2000-10-26T19:02:00Z</dcterms:modified>
  <cp:revision>8</cp:revision>
  <dc:subject/>
  <dc:title>LEGAL RISK</dc:title>
</cp:coreProperties>
</file>