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ECC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(iii) it is a resident of Canada for purposes of the </w:t>
      </w:r>
      <w:r>
        <w:rPr>
          <w:rFonts w:cs="Arial Narrow" w:ascii="Arial Narrow" w:hAnsi="Arial Narrow"/>
          <w:i/>
          <w:sz w:val="18"/>
        </w:rPr>
        <w:t>Income Tax Act</w:t>
      </w:r>
      <w:r>
        <w:rPr>
          <w:rFonts w:cs="Arial Narrow" w:ascii="Arial Narrow" w:hAnsi="Arial Narrow"/>
          <w:sz w:val="18"/>
        </w:rPr>
        <w:t xml:space="preserve"> (Canada); and (b) </w:t>
      </w:r>
      <w:r>
        <w:rPr>
          <w:rFonts w:cs="Arial Narrow" w:ascii="Arial Narrow" w:hAnsi="Arial Narrow"/>
          <w:sz w:val="18"/>
          <w:u w:val="single"/>
        </w:rPr>
        <w:t>Securities Act Representations</w:t>
      </w:r>
      <w:r>
        <w:rPr>
          <w:rFonts w:cs="Arial Narrow" w:ascii="Arial Narrow" w:hAnsi="Arial Narrow"/>
          <w:sz w:val="18"/>
        </w:rPr>
        <w:t xml:space="preserve">  (i) this Confirmation shall constitute an “OTC Derivative” as defined in the </w:t>
      </w:r>
      <w:r>
        <w:rPr>
          <w:rFonts w:cs="Arial Narrow" w:ascii="Arial Narrow" w:hAnsi="Arial Narrow"/>
          <w:i/>
          <w:sz w:val="18"/>
        </w:rPr>
        <w:t>Securities Act</w:t>
      </w:r>
      <w:r>
        <w:rPr>
          <w:rFonts w:cs="Arial Narrow" w:ascii="Arial Narrow" w:hAnsi="Arial Narrow"/>
          <w:sz w:val="18"/>
        </w:rPr>
        <w:t xml:space="preserve"> (Alberta) and the </w:t>
      </w:r>
      <w:r>
        <w:rPr>
          <w:rFonts w:cs="Arial Narrow" w:ascii="Arial Narrow" w:hAnsi="Arial Narrow"/>
          <w:i/>
          <w:sz w:val="18"/>
        </w:rPr>
        <w:t>Securities Act</w:t>
      </w:r>
      <w:r>
        <w:rPr>
          <w:rFonts w:cs="Arial Narrow" w:ascii="Arial Narrow" w:hAnsi="Arial Narrow"/>
          <w:sz w:val="18"/>
        </w:rPr>
        <w:t xml:space="preserve"> (British Columbia) which have application to this Confirmation, and (ii) it is a “Qualified Party” within the meaning of paragraph 9.1 of the Alberta Securities Commission Order Doc. #394043 and/or Paragraph 1.1 of the British Columbia Securities Commission Blanket Order BOR#91-501(BC), as in effect of the date hereof; and (c) </w:t>
      </w:r>
      <w:r>
        <w:rPr>
          <w:rFonts w:cs="Arial Narrow" w:ascii="Arial Narrow" w:hAnsi="Arial Narrow"/>
          <w:sz w:val="18"/>
          <w:u w:val="single"/>
        </w:rPr>
        <w:t>Line of Business</w:t>
      </w:r>
      <w:r>
        <w:rPr>
          <w:rFonts w:cs="Arial Narrow" w:ascii="Arial Narrow" w:hAnsi="Arial Narrow"/>
          <w:sz w:val="18"/>
        </w:rPr>
        <w:t xml:space="preserve">  it is entering into this Confirmation in conjunction with its line of business (including financial intermediation services) or the financing of its business;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AND GENUINE PRE-ESTIMATE AND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Province of Alberta and the Federal laws of Canada (excluding conflict of laws principles); (b) be binding upon and inure to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The parties hereby have requested that this Confirmation be drafted in the English language and that all present and future confirmations be drafted in the English language.  Les parties aux présentes ont requis que cette confirmation ainsi que toutes les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ECC,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ECC):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sectPr>
      <w:headerReference w:type="default" r:id="rId2"/>
      <w:headerReference w:type="first" r:id="rId3"/>
      <w:footerReference w:type="default" r:id="rId4"/>
      <w:footerReference w:type="first" r:id="rId5"/>
      <w:type w:val="nextPage"/>
      <w:pgSz w:w="12240" w:h="15840"/>
      <w:pgMar w:left="936" w:right="936" w:gutter="0" w:header="432" w:top="720" w:footer="576" w:bottom="720"/>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r>
      <w:rPr>
        <w:rFonts w:cs="Arial Narrow" w:ascii="Arial Narrow" w:hAnsi="Arial Narrow"/>
        <w:sz w:val="18"/>
      </w:rPr>
      <w:t xml:space="preserve"> of </w:t>
    </w:r>
    <w:r>
      <w:rPr>
        <w:rStyle w:val="PageNumber"/>
        <w:rFonts w:cs="Arial Narrow" w:ascii="Arial Narrow" w:hAnsi="Arial Narrow"/>
        <w:sz w:val="18"/>
      </w:rPr>
      <w:t>4</w:t>
    </w:r>
  </w:p>
  <w:p>
    <w:pPr>
      <w:pStyle w:val="Footer"/>
      <w:jc w:val="center"/>
      <w:rPr>
        <w:rFonts w:ascii="Arial Narrow" w:hAnsi="Arial Narrow" w:cs="Arial Narrow"/>
        <w:sz w:val="18"/>
      </w:rPr>
    </w:pPr>
    <w:r>
      <w:rPr>
        <w:rFonts w:cs="Arial Narrow" w:ascii="Arial Narrow" w:hAnsi="Arial Narrow"/>
        <w:sz w:val="18"/>
      </w:rPr>
      <w:t>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r>
      <w:rPr>
        <w:rFonts w:cs="Arial Narrow" w:ascii="Arial Narrow" w:hAnsi="Arial Narrow"/>
        <w:sz w:val="18"/>
      </w:rPr>
      <w:t xml:space="preserve"> of </w:t>
    </w:r>
    <w:r>
      <w:rPr>
        <w:rStyle w:val="PageNumber"/>
        <w:rFonts w:cs="Arial Narrow" w:ascii="Arial Narrow" w:hAnsi="Arial Narrow"/>
        <w:sz w:val="18"/>
      </w:rPr>
      <w:t>4</w:t>
    </w:r>
  </w:p>
  <w:p>
    <w:pPr>
      <w:pStyle w:val="Footer"/>
      <w:jc w:val="center"/>
      <w:rPr>
        <w:rFonts w:ascii="Arial Narrow" w:hAnsi="Arial Narrow" w:cs="Arial Narrow"/>
        <w:sz w:val="18"/>
      </w:rPr>
    </w:pPr>
    <w:r>
      <w:rP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ECC/Canadian Counterparty</w:t>
    </w:r>
  </w:p>
  <w:p>
    <w:pPr>
      <w:pStyle w:val="Normal"/>
      <w:jc w:val="end"/>
      <w:rPr>
        <w:rFonts w:ascii="Arial Narrow" w:hAnsi="Arial Narrow" w:cs="Arial Narrow"/>
        <w:sz w:val="16"/>
      </w:rPr>
    </w:pPr>
    <w:r>
      <w:rPr>
        <w:rFonts w:cs="Arial Narrow" w:ascii="Arial Narrow" w:hAnsi="Arial Narrow"/>
        <w:sz w:val="16"/>
      </w:rPr>
      <w:t>Revised as of 03/02/00</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A</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rPr>
      <w:t>GENERAL TERMS AND CONDITIONS</w:t>
    </w:r>
  </w:p>
  <w:p>
    <w:pPr>
      <w:pStyle w:val="Normal"/>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sz w:val="16"/>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2000-09-26T18:03:00Z</dcterms:created>
  <dc:creator>mheard</dc:creator>
  <dc:description/>
  <dc:language>en-CA</dc:language>
  <cp:lastModifiedBy>jhunte2</cp:lastModifiedBy>
  <dcterms:modified xsi:type="dcterms:W3CDTF">2000-09-26T18:03:00Z</dcterms:modified>
  <cp:revision>2</cp:revision>
  <dc:subject/>
  <dc:title>This Annex A supplements, forms part of, and is incorporated into the Confirmation to which this Annex A is attached</dc:title>
</cp:coreProperties>
</file>