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Toronto Dominion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C$147,400,000</w:t>
            </w:r>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Floating Price Payer Payment Date:</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Energy Conversion Rate:</w:t>
            </w:r>
          </w:p>
          <w:p>
            <w:pPr>
              <w:pStyle w:val="Normal"/>
              <w:ind w:firstLine="720" w:end="0"/>
              <w:rPr>
                <w:sz w:val="22"/>
              </w:rPr>
            </w:pPr>
            <w:r>
              <w:rPr>
                <w:sz w:val="22"/>
              </w:rPr>
            </w:r>
          </w:p>
        </w:tc>
        <w:tc>
          <w:tcPr>
            <w:tcW w:w="6102" w:type="dxa"/>
            <w:tcBorders/>
          </w:tcPr>
          <w:p>
            <w:pPr>
              <w:pStyle w:val="Normal"/>
              <w:jc w:val="both"/>
              <w:rPr>
                <w:sz w:val="22"/>
              </w:rPr>
            </w:pPr>
            <w:r>
              <w:rPr>
                <w:sz w:val="22"/>
              </w:rPr>
              <w:t>For each Calculation Period, the average of all settlement prices for each Friday, from and including the Effective Date through and including the Pricing Date for the applicable Calculation Period, for the March, 2002 NYMEX Henry Hub Natural Gas Futures Contract  as set forth on Exhibit I attached hereto  converted by the FX Rate.</w:t>
            </w:r>
          </w:p>
          <w:p>
            <w:pPr>
              <w:pStyle w:val="Normal"/>
              <w:jc w:val="both"/>
              <w:rPr>
                <w:sz w:val="22"/>
              </w:rPr>
            </w:pPr>
            <w:r>
              <w:rPr>
                <w:sz w:val="22"/>
              </w:rPr>
              <w:t>The Payment Dates set forth on Exhibit I attached hereto</w:t>
            </w:r>
          </w:p>
          <w:p>
            <w:pPr>
              <w:pStyle w:val="Normal"/>
              <w:jc w:val="both"/>
              <w:rPr>
                <w:sz w:val="22"/>
              </w:rPr>
            </w:pPr>
            <w:r>
              <w:rPr>
                <w:sz w:val="22"/>
              </w:rPr>
            </w:r>
          </w:p>
          <w:p>
            <w:pPr>
              <w:pStyle w:val="Normal"/>
              <w:jc w:val="both"/>
              <w:rPr>
                <w:sz w:val="22"/>
              </w:rPr>
            </w:pPr>
            <w:r>
              <w:rPr>
                <w:sz w:val="22"/>
              </w:rPr>
              <w:t>“</w:t>
            </w:r>
            <w:r>
              <w:rPr>
                <w:sz w:val="22"/>
              </w:rPr>
              <w:t>Energy Conversion Rate” shall mean for conversion from Gigajoules (GJ’s”) to MMBtu, One (1) MMBtu shall be equal to 1.054615 GJ’s.  The Notional Quantity per Calculation Period shall be multiplied by the Energy Conversion Rate which will equal the equivalent Notional Quantity per Calculation Period in GJ’s.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rPr>
            </w:pPr>
            <w:r>
              <w:rPr>
                <w:sz w:val="22"/>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6(e)(ii)(2) shall apply for purposes of calculating the Settlement Amount and will be payable as provided in Section 6(e)(ii)(2) assuming that both parties are deemed to be Affected Parties.</w:t>
            </w:r>
          </w:p>
          <w:p>
            <w:pPr>
              <w:pStyle w:val="Normal"/>
              <w:ind w:start="-18" w:end="0"/>
              <w:jc w:val="both"/>
              <w:rPr>
                <w:sz w:val="22"/>
              </w:rPr>
            </w:pPr>
            <w:r>
              <w:rPr>
                <w:sz w:val="22"/>
              </w:rPr>
            </w:r>
          </w:p>
          <w:p>
            <w:pPr>
              <w:pStyle w:val="Normal"/>
              <w:numPr>
                <w:ilvl w:val="0"/>
                <w:numId w:val="2"/>
              </w:numPr>
              <w:jc w:val="both"/>
              <w:rPr>
                <w:sz w:val="22"/>
              </w:rPr>
            </w:pPr>
            <w:r>
              <w:rPr>
                <w:sz w:val="22"/>
              </w:rPr>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p>
            <w:pPr>
              <w:pStyle w:val="Normal"/>
              <w:ind w:start="-18" w:end="0"/>
              <w:jc w:val="both"/>
              <w:rPr>
                <w:sz w:val="22"/>
              </w:rPr>
            </w:pPr>
            <w:r>
              <w:rPr>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Toronto Dominion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2160"/>
        <w:gridCol w:w="196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216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196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2160" w:type="dxa"/>
            <w:tcBorders/>
          </w:tcPr>
          <w:p>
            <w:pPr>
              <w:pStyle w:val="BodyText"/>
              <w:rPr>
                <w:b/>
                <w:sz w:val="20"/>
              </w:rPr>
            </w:pPr>
            <w:r>
              <w:rPr>
                <w:b/>
                <w:sz w:val="20"/>
              </w:rPr>
              <w:t xml:space="preserve">  </w:t>
            </w:r>
            <w:r>
              <w:rPr>
                <w:b/>
                <w:sz w:val="20"/>
              </w:rPr>
              <w:t>------------------------</w:t>
            </w:r>
          </w:p>
        </w:tc>
        <w:tc>
          <w:tcPr>
            <w:tcW w:w="1962" w:type="dxa"/>
            <w:tcBorders/>
          </w:tcPr>
          <w:p>
            <w:pPr>
              <w:pStyle w:val="BodyText"/>
              <w:snapToGrid w:val="false"/>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rPr>
                <w:b/>
                <w:sz w:val="20"/>
              </w:rPr>
            </w:pPr>
            <w:r>
              <w:rPr>
                <w:b/>
                <w:sz w:val="20"/>
              </w:rPr>
            </w:r>
          </w:p>
        </w:tc>
        <w:tc>
          <w:tcPr>
            <w:tcW w:w="196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/mnt/main-storage/datasets/enron-docs/doc/ECCTDBnymexcl-32236d5060d6a32b59682cbe0dabf9fc122a91442ee2f2e36518360a837f9272.doc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/mnt/main-storage/datasets/enron-docs/doc/ECCTDBnymexcl-32236d5060d6a32b59682cbe0dabf9fc122a91442ee2f2e36518360a837f9272.doc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/mnt/main-storage/datasets/enron-docs/doc/ECCTDBnymexcl-32236d5060d6a32b59682cbe0dabf9fc122a91442ee2f2e36518360a837f9272.doc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2000-09-28T18:20:00Z</dcterms:created>
  <dc:creator>ECT</dc:creator>
  <dc:description/>
  <dc:language>en-CA</dc:language>
  <cp:lastModifiedBy>kellis</cp:lastModifiedBy>
  <cp:lastPrinted>2000-09-28T15:52:00Z</cp:lastPrinted>
  <dcterms:modified xsi:type="dcterms:W3CDTF">2000-09-28T18:22:00Z</dcterms:modified>
  <cp:revision>3</cp:revision>
  <dc:subject>Williams Energy Marketing &amp; Trading Company</dc:subject>
  <dc:title>NZ2978.1</dc:title>
</cp:coreProperties>
</file>