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jc w:val="both"/>
        <w:rPr>
          <w:sz w:val="20"/>
        </w:rPr>
      </w:pPr>
      <w:r>
        <w:rPr>
          <w:sz w:val="20"/>
        </w:rPr>
        <w:t>Date:</w:t>
        <w:tab/>
        <w:tab/>
        <w:t>September 22, 2000</w:t>
      </w:r>
    </w:p>
    <w:p>
      <w:pPr>
        <w:pStyle w:val="Normal"/>
        <w:widowControl/>
        <w:jc w:val="both"/>
        <w:rPr>
          <w:sz w:val="20"/>
        </w:rPr>
      </w:pPr>
      <w:r>
        <w:rPr>
          <w:sz w:val="20"/>
        </w:rPr>
      </w:r>
    </w:p>
    <w:p>
      <w:pPr>
        <w:pStyle w:val="Normal"/>
        <w:widowControl/>
        <w:jc w:val="both"/>
        <w:rPr>
          <w:sz w:val="20"/>
        </w:rPr>
      </w:pPr>
      <w:r>
        <w:rPr>
          <w:sz w:val="20"/>
        </w:rPr>
        <w:t xml:space="preserve">To: </w:t>
        <w:tab/>
        <w:tab/>
        <w:t>Royal Bank of Canada (“Party B”)</w:t>
      </w:r>
    </w:p>
    <w:p>
      <w:pPr>
        <w:pStyle w:val="Normal"/>
        <w:widowControl/>
        <w:jc w:val="both"/>
        <w:rPr>
          <w:sz w:val="20"/>
        </w:rPr>
      </w:pPr>
      <w:r>
        <w:rPr>
          <w:sz w:val="20"/>
        </w:rPr>
      </w:r>
    </w:p>
    <w:p>
      <w:pPr>
        <w:pStyle w:val="Normal"/>
        <w:widowControl/>
        <w:jc w:val="both"/>
        <w:rPr>
          <w:sz w:val="20"/>
        </w:rPr>
      </w:pPr>
      <w:r>
        <w:rPr>
          <w:sz w:val="20"/>
        </w:rPr>
        <w:t>Attention:</w:t>
        <w:tab/>
        <w:t>[                    ]</w:t>
      </w:r>
    </w:p>
    <w:p>
      <w:pPr>
        <w:pStyle w:val="Normal"/>
        <w:widowControl/>
        <w:jc w:val="both"/>
        <w:rPr>
          <w:sz w:val="20"/>
        </w:rPr>
      </w:pPr>
      <w:r>
        <w:rPr>
          <w:sz w:val="20"/>
        </w:rPr>
      </w:r>
    </w:p>
    <w:p>
      <w:pPr>
        <w:pStyle w:val="Normal"/>
        <w:widowControl/>
        <w:jc w:val="both"/>
        <w:rPr>
          <w:sz w:val="20"/>
        </w:rPr>
      </w:pPr>
      <w:r>
        <w:rPr>
          <w:sz w:val="20"/>
        </w:rPr>
        <w:t>From:</w:t>
        <w:tab/>
        <w:tab/>
        <w:t>Enron Canada Corp. (“Party A”)</w:t>
      </w:r>
    </w:p>
    <w:p>
      <w:pPr>
        <w:pStyle w:val="Normal"/>
        <w:widowControl/>
        <w:jc w:val="both"/>
        <w:rPr>
          <w:sz w:val="20"/>
        </w:rPr>
      </w:pPr>
      <w:r>
        <w:rPr>
          <w:sz w:val="20"/>
        </w:rPr>
      </w:r>
    </w:p>
    <w:p>
      <w:pPr>
        <w:pStyle w:val="Normal"/>
        <w:widowControl/>
        <w:jc w:val="both"/>
        <w:rPr/>
      </w:pPr>
      <w:r>
        <w:rPr>
          <w:sz w:val="20"/>
        </w:rPr>
        <w:t>RE:</w:t>
        <w:tab/>
        <w:tab/>
        <w:t xml:space="preserve">Rate Swap Transaction; Deal No. </w:t>
      </w:r>
      <w:r>
        <w:rPr>
          <w:color w:val="FF0000"/>
          <w:sz w:val="20"/>
        </w:rPr>
        <w:t>[        ]</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September [  ],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30, 2001,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 ]</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 ]</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hanging="720" w:start="720" w:end="0"/>
              <w:jc w:val="start"/>
              <w:rPr>
                <w:b/>
              </w:rPr>
            </w:pPr>
            <w:r>
              <w:rPr>
                <w:b/>
              </w:rPr>
              <w:t>Other Provisions:</w:t>
            </w:r>
          </w:p>
        </w:tc>
        <w:tc>
          <w:tcPr>
            <w:tcW w:w="4428" w:type="dxa"/>
            <w:tcBorders/>
          </w:tcPr>
          <w:p>
            <w:pPr>
              <w:pStyle w:val="BodyText2"/>
              <w:numPr>
                <w:ilvl w:val="0"/>
                <w:numId w:val="1"/>
              </w:numPr>
              <w:ind w:hanging="342" w:start="342" w:end="0"/>
              <w:rPr>
                <w:sz w:val="20"/>
              </w:rPr>
            </w:pPr>
            <w:r>
              <w:rPr>
                <w:sz w:val="20"/>
              </w:rPr>
              <w:t>For the purpose of Section 6(e) of the ISDA Master Agreement:  (i) Market Quotation will apply, and (ii) the Second Method will apply.</w:t>
            </w:r>
          </w:p>
          <w:p>
            <w:pPr>
              <w:pStyle w:val="Normal"/>
              <w:numPr>
                <w:ilvl w:val="0"/>
                <w:numId w:val="1"/>
              </w:numPr>
              <w:tabs>
                <w:tab w:val="clear" w:pos="720"/>
                <w:tab w:val="left" w:pos="342" w:leader="none"/>
              </w:tabs>
              <w:ind w:hanging="342" w:start="342" w:end="0"/>
              <w:jc w:val="both"/>
              <w:rPr>
                <w:sz w:val="20"/>
              </w:rPr>
            </w:pPr>
            <w:r>
              <w:rPr>
                <w:sz w:val="20"/>
              </w:rPr>
              <w:t>"Termination Currency" means Canadian Dollars.</w:t>
            </w:r>
          </w:p>
          <w:p>
            <w:pPr>
              <w:pStyle w:val="BodyTextIndent"/>
              <w:widowControl/>
              <w:numPr>
                <w:ilvl w:val="0"/>
                <w:numId w:val="1"/>
              </w:numPr>
              <w:tabs>
                <w:tab w:val="clear" w:pos="90"/>
                <w:tab w:val="left" w:pos="342" w:leader="none"/>
                <w:tab w:val="left" w:pos="2160" w:leader="none"/>
                <w:tab w:val="left" w:pos="4140" w:leader="none"/>
                <w:tab w:val="left" w:pos="6480" w:leader="none"/>
              </w:tabs>
              <w:ind w:hanging="342" w:start="342" w:end="0"/>
              <w:rPr/>
            </w:pPr>
            <w:r>
              <w:rPr/>
              <w:t>For purposes of Paragraph 13 of the ISDA Credit Support Annex, “Valuation Date” shall mean any Friday during the Term of this Transaction, subject to adjustment in accordance with the Modified Following Business Day Convention.</w:t>
            </w:r>
          </w:p>
          <w:p>
            <w:pPr>
              <w:pStyle w:val="BodyTextIndent"/>
              <w:widowControl/>
              <w:tabs>
                <w:tab w:val="clear" w:pos="90"/>
                <w:tab w:val="left" w:pos="342" w:leader="none"/>
                <w:tab w:val="left" w:pos="2160" w:leader="none"/>
                <w:tab w:val="left" w:pos="4140" w:leader="none"/>
                <w:tab w:val="left" w:pos="6480" w:leader="none"/>
              </w:tabs>
              <w:ind w:hanging="360" w:start="360" w:end="0"/>
              <w:rPr/>
            </w:pPr>
            <w:r>
              <w:rPr/>
              <w:t>(d)</w:t>
              <w:tab/>
              <w:t>NOTE TO DRAFT:  bilateral optional early termination.</w:t>
            </w:r>
            <w:r>
              <w:rPr>
                <w:sz w:val="22"/>
              </w:rPr>
              <w:t xml:space="preserve"> </w:t>
            </w:r>
          </w:p>
          <w:p>
            <w:pPr>
              <w:pStyle w:val="BodyTextIndent"/>
              <w:widowControl/>
              <w:tabs>
                <w:tab w:val="clear" w:pos="90"/>
                <w:tab w:val="left" w:pos="342" w:leader="none"/>
                <w:tab w:val="left" w:pos="2160" w:leader="none"/>
                <w:tab w:val="left" w:pos="4140" w:leader="none"/>
                <w:tab w:val="left" w:pos="6480" w:leader="none"/>
              </w:tabs>
              <w:ind w:hanging="360" w:start="360" w:end="0"/>
              <w:rPr>
                <w:highlight w:val="red"/>
              </w:rPr>
            </w:pPr>
            <w:r>
              <w:rPr/>
              <w:t>(e)</w:t>
              <w:tab/>
              <w:t>NOTE TO DRAFT:  schedule for syndication pricing changes.</w:t>
            </w:r>
          </w:p>
        </w:tc>
      </w:tr>
      <w:tr>
        <w:trPr/>
        <w:tc>
          <w:tcPr>
            <w:tcW w:w="4428" w:type="dxa"/>
            <w:tcBorders/>
          </w:tcPr>
          <w:p>
            <w:pPr>
              <w:pStyle w:val="Normal"/>
              <w:widowControl/>
              <w:snapToGrid w:val="false"/>
              <w:spacing w:before="60" w:after="0"/>
              <w:jc w:val="both"/>
              <w:rPr>
                <w:sz w:val="20"/>
                <w:highlight w:val="red"/>
              </w:rPr>
            </w:pPr>
            <w:r>
              <w:rPr>
                <w:sz w:val="20"/>
                <w:highlight w:val="red"/>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jc w:val="both"/>
              <w:rPr>
                <w:sz w:val="20"/>
              </w:rPr>
            </w:pPr>
            <w:r>
              <w:rPr>
                <w:sz w:val="20"/>
              </w:rPr>
              <w:t>Bank of Montreal</w:t>
            </w:r>
          </w:p>
          <w:p>
            <w:pPr>
              <w:pStyle w:val="Normal"/>
              <w:jc w:val="both"/>
              <w:rPr>
                <w:sz w:val="20"/>
              </w:rPr>
            </w:pPr>
            <w:r>
              <w:rPr>
                <w:sz w:val="20"/>
              </w:rPr>
              <w:t>BOFMCAM2</w:t>
            </w:r>
          </w:p>
          <w:p>
            <w:pPr>
              <w:pStyle w:val="Normal"/>
              <w:jc w:val="both"/>
              <w:rPr>
                <w:sz w:val="20"/>
              </w:rPr>
            </w:pPr>
            <w:r>
              <w:rPr>
                <w:sz w:val="20"/>
              </w:rPr>
              <w:t>City Bank Canada</w:t>
            </w:r>
          </w:p>
          <w:p>
            <w:pPr>
              <w:pStyle w:val="Normal"/>
              <w:jc w:val="both"/>
              <w:rPr>
                <w:sz w:val="20"/>
              </w:rPr>
            </w:pPr>
            <w:r>
              <w:rPr>
                <w:sz w:val="20"/>
              </w:rPr>
              <w:t>Acct. No. 1017-221</w:t>
            </w:r>
          </w:p>
          <w:p>
            <w:pPr>
              <w:pStyle w:val="Normal"/>
              <w:jc w:val="both"/>
              <w:rPr>
                <w:sz w:val="20"/>
              </w:rPr>
            </w:pPr>
            <w:r>
              <w:rPr>
                <w:sz w:val="20"/>
              </w:rPr>
              <w:t>For credit of Enron Canada Corp.</w:t>
            </w:r>
          </w:p>
          <w:p>
            <w:pPr>
              <w:pStyle w:val="BodyText2"/>
              <w:rPr>
                <w:sz w:val="20"/>
              </w:rPr>
            </w:pPr>
            <w:r>
              <w:rPr>
                <w:sz w:val="20"/>
              </w:rPr>
              <w:t>Acct. No.  2013578009</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Please advise</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Canada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Royal Bank of Canada.</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/mnt/main-storage/datasets/enron-docs/doc/ECCRBCrate.doc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tabs>
        <w:tab w:val="clear" w:pos="720"/>
        <w:tab w:val="left" w:pos="342" w:leader="none"/>
      </w:tabs>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2000-09-19T10:49:00Z</dcterms:created>
  <dc:creator>ECT</dc:creator>
  <dc:description/>
  <dc:language>en-CA</dc:language>
  <cp:lastModifiedBy>kellis</cp:lastModifiedBy>
  <cp:lastPrinted>2000-09-19T16:30:00Z</cp:lastPrinted>
  <dcterms:modified xsi:type="dcterms:W3CDTF">2000-09-19T20:13:00Z</dcterms:modified>
  <cp:revision>20</cp:revision>
  <dc:subject/>
  <dc:title> 1400 Smith  Houston, TX 77002 (713) 853-3300 Fax (713) 646-4816</dc:title>
</cp:coreProperties>
</file>