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0"/>
              </w:rPr>
            </w:pPr>
            <w:r>
              <w:rPr>
                <w:b/>
                <w:sz w:val="20"/>
              </w:rPr>
              <w:t>Enron North America Corp.</w:t>
            </w:r>
          </w:p>
          <w:p>
            <w:pPr>
              <w:pStyle w:val="Normal"/>
              <w:tabs>
                <w:tab w:val="clear" w:pos="720"/>
                <w:tab w:val="left" w:pos="2412" w:leader="none"/>
              </w:tabs>
              <w:ind w:start="1782" w:end="0"/>
              <w:jc w:val="end"/>
              <w:rPr>
                <w:sz w:val="20"/>
              </w:rPr>
            </w:pPr>
            <w:r>
              <w:rPr>
                <w:i/>
                <w:sz w:val="20"/>
              </w:rPr>
              <w:t>P.O. Box 4428</w:t>
            </w:r>
          </w:p>
          <w:p>
            <w:pPr>
              <w:pStyle w:val="Normal"/>
              <w:tabs>
                <w:tab w:val="clear" w:pos="720"/>
                <w:tab w:val="left" w:pos="2412" w:leader="none"/>
              </w:tabs>
              <w:ind w:start="1782" w:end="0"/>
              <w:jc w:val="end"/>
              <w:rPr>
                <w:sz w:val="20"/>
              </w:rPr>
            </w:pPr>
            <w:r>
              <w:rPr>
                <w:i/>
                <w:sz w:val="20"/>
              </w:rPr>
              <w:t>Houston, TX  77210-4428</w:t>
            </w:r>
          </w:p>
          <w:p>
            <w:pPr>
              <w:pStyle w:val="Normal"/>
              <w:tabs>
                <w:tab w:val="clear" w:pos="720"/>
                <w:tab w:val="left" w:pos="2412" w:leader="none"/>
              </w:tabs>
              <w:ind w:start="1782" w:end="0"/>
              <w:jc w:val="end"/>
              <w:rPr>
                <w:sz w:val="20"/>
              </w:rPr>
            </w:pPr>
            <w:r>
              <w:rPr>
                <w:i/>
                <w:sz w:val="20"/>
              </w:rPr>
              <w:t>Phone: (713) 853-3300</w:t>
            </w:r>
          </w:p>
          <w:p>
            <w:pPr>
              <w:pStyle w:val="Normal"/>
              <w:tabs>
                <w:tab w:val="clear" w:pos="720"/>
                <w:tab w:val="left" w:pos="2412" w:leader="none"/>
              </w:tabs>
              <w:ind w:start="1782" w:end="0"/>
              <w:jc w:val="end"/>
              <w:rPr>
                <w:i/>
                <w:i/>
                <w:sz w:val="20"/>
              </w:rPr>
            </w:pPr>
            <w:r>
              <w:rPr>
                <w:i/>
                <w:sz w:val="20"/>
              </w:rPr>
              <w:t>Fax:  (713) 646-4816</w:t>
            </w:r>
          </w:p>
          <w:p>
            <w:pPr>
              <w:pStyle w:val="Normal"/>
              <w:tabs>
                <w:tab w:val="clear" w:pos="720"/>
                <w:tab w:val="left" w:pos="2412" w:leader="none"/>
              </w:tabs>
              <w:ind w:start="1782" w:end="0"/>
              <w:rPr>
                <w:i/>
                <w:i/>
                <w:sz w:val="20"/>
              </w:rPr>
            </w:pPr>
            <w:r>
              <w:rPr>
                <w:i/>
                <w:sz w:val="20"/>
              </w:rPr>
            </w:r>
          </w:p>
        </w:tc>
      </w:tr>
    </w:tbl>
    <w:p>
      <w:pPr>
        <w:pStyle w:val="Caption"/>
        <w:widowControl/>
        <w:ind w:firstLine="720" w:start="720" w:end="0"/>
        <w:rPr>
          <w:sz w:val="20"/>
        </w:rPr>
      </w:pPr>
      <w:r>
        <w:rPr>
          <w:sz w:val="20"/>
        </w:rPr>
        <w:t>CONFIRMATION</w:t>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15760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157605" cy="146685"/>
                        </a:xfrm>
                        <a:prstGeom prst="rect"/>
                        <a:solidFill>
                          <a:srgbClr val="FFFFFF">
                            <a:alpha val="0"/>
                          </a:srgbClr>
                        </a:solidFill>
                      </wps:spPr>
                      <wps:txbx>
                        <w:txbxContent>
                          <w:p>
                            <w:pPr>
                              <w:pStyle w:val="Normal"/>
                              <w:widowControl/>
                              <w:ind w:start="1800" w:end="0"/>
                              <w:jc w:val="center"/>
                              <w:rPr>
                                <w:sz w:val="20"/>
                              </w:rPr>
                            </w:pPr>
                            <w:r>
                              <w:rPr>
                                <w:sz w:val="20"/>
                              </w:rPr>
                            </w:r>
                          </w:p>
                        </w:txbxContent>
                      </wps:txbx>
                      <wps:bodyPr anchor="t" lIns="0" tIns="0" rIns="0" bIns="0">
                        <a:noAutofit/>
                      </wps:bodyPr>
                    </wps:wsp>
                  </a:graphicData>
                </a:graphic>
              </wp:anchor>
            </w:drawing>
          </mc:Choice>
          <mc:Fallback>
            <w:pict>
              <v:rect fillcolor="#FFFFFF" style="position:absolute;rotation:-0;width:91.15pt;height:11.55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widowControl/>
                        <w:ind w:start="1800" w:end="0"/>
                        <w:jc w:val="center"/>
                        <w:rPr>
                          <w:sz w:val="20"/>
                        </w:rPr>
                      </w:pPr>
                      <w:r>
                        <w:rPr>
                          <w:sz w:val="20"/>
                        </w:rPr>
                      </w:r>
                    </w:p>
                  </w:txbxContent>
                </v:textbox>
                <w10:wrap type="square"/>
              </v:rect>
            </w:pict>
          </mc:Fallback>
        </mc:AlternateContent>
      </w:r>
    </w:p>
    <w:p>
      <w:pPr>
        <w:pStyle w:val="Normal"/>
        <w:widowControl/>
        <w:rPr>
          <w:b/>
          <w:sz w:val="20"/>
          <w:u w:val="single"/>
        </w:rPr>
      </w:pPr>
      <w:r>
        <w:rPr>
          <w:b/>
          <w:sz w:val="20"/>
          <w:u w:val="single"/>
        </w:rPr>
      </w:r>
    </w:p>
    <w:p>
      <w:pPr>
        <w:pStyle w:val="Normal"/>
        <w:widowControl/>
        <w:rPr>
          <w:b/>
          <w:sz w:val="20"/>
          <w:u w:val="single"/>
        </w:rPr>
      </w:pPr>
      <w:r>
        <w:rPr>
          <w:b/>
          <w:sz w:val="20"/>
          <w:u w:val="single"/>
        </w:rPr>
      </w:r>
    </w:p>
    <w:p>
      <w:pPr>
        <w:pStyle w:val="Normal"/>
        <w:widowControl/>
        <w:jc w:val="both"/>
        <w:rPr>
          <w:sz w:val="20"/>
        </w:rPr>
      </w:pPr>
      <w:r>
        <w:rPr>
          <w:sz w:val="20"/>
        </w:rPr>
        <w:t>Date:</w:t>
        <w:tab/>
        <w:tab/>
        <w:t>September [ ], 2000</w:t>
      </w:r>
    </w:p>
    <w:p>
      <w:pPr>
        <w:pStyle w:val="Normal"/>
        <w:widowControl/>
        <w:jc w:val="both"/>
        <w:rPr>
          <w:sz w:val="20"/>
        </w:rPr>
      </w:pPr>
      <w:r>
        <w:rPr>
          <w:sz w:val="20"/>
        </w:rPr>
      </w:r>
    </w:p>
    <w:p>
      <w:pPr>
        <w:pStyle w:val="Normal"/>
        <w:widowControl/>
        <w:jc w:val="both"/>
        <w:rPr>
          <w:sz w:val="20"/>
        </w:rPr>
      </w:pPr>
      <w:r>
        <w:rPr>
          <w:sz w:val="20"/>
        </w:rPr>
        <w:t xml:space="preserve">To: </w:t>
        <w:tab/>
        <w:tab/>
        <w:t>Royal Bank of Canada (“Party B”)</w:t>
      </w:r>
    </w:p>
    <w:p>
      <w:pPr>
        <w:pStyle w:val="Normal"/>
        <w:widowControl/>
        <w:jc w:val="both"/>
        <w:rPr>
          <w:sz w:val="20"/>
        </w:rPr>
      </w:pPr>
      <w:r>
        <w:rPr>
          <w:sz w:val="20"/>
        </w:rPr>
      </w:r>
    </w:p>
    <w:p>
      <w:pPr>
        <w:pStyle w:val="Normal"/>
        <w:widowControl/>
        <w:jc w:val="both"/>
        <w:rPr>
          <w:sz w:val="20"/>
        </w:rPr>
      </w:pPr>
      <w:r>
        <w:rPr>
          <w:sz w:val="20"/>
        </w:rPr>
        <w:t>Attention:</w:t>
        <w:tab/>
        <w:t>[                    ]</w:t>
      </w:r>
    </w:p>
    <w:p>
      <w:pPr>
        <w:pStyle w:val="Normal"/>
        <w:widowControl/>
        <w:jc w:val="both"/>
        <w:rPr>
          <w:sz w:val="20"/>
        </w:rPr>
      </w:pPr>
      <w:r>
        <w:rPr>
          <w:sz w:val="20"/>
        </w:rPr>
      </w:r>
    </w:p>
    <w:p>
      <w:pPr>
        <w:pStyle w:val="Normal"/>
        <w:widowControl/>
        <w:jc w:val="both"/>
        <w:rPr>
          <w:sz w:val="20"/>
        </w:rPr>
      </w:pPr>
      <w:r>
        <w:rPr>
          <w:sz w:val="20"/>
        </w:rPr>
        <w:t>From:</w:t>
        <w:tab/>
        <w:tab/>
        <w:t>Enron Canada Corp. (“Party A”)</w:t>
      </w:r>
    </w:p>
    <w:p>
      <w:pPr>
        <w:pStyle w:val="Normal"/>
        <w:widowControl/>
        <w:jc w:val="both"/>
        <w:rPr>
          <w:sz w:val="20"/>
        </w:rPr>
      </w:pPr>
      <w:r>
        <w:rPr>
          <w:sz w:val="20"/>
        </w:rPr>
      </w:r>
    </w:p>
    <w:p>
      <w:pPr>
        <w:pStyle w:val="Normal"/>
        <w:widowControl/>
        <w:jc w:val="both"/>
        <w:rPr/>
      </w:pPr>
      <w:r>
        <w:rPr>
          <w:sz w:val="20"/>
        </w:rPr>
        <w:t>RE:</w:t>
        <w:tab/>
        <w:tab/>
        <w:t xml:space="preserve">Rate Swap Transaction; Deal No. </w:t>
      </w:r>
      <w:r>
        <w:rPr>
          <w:color w:val="FF0000"/>
          <w:sz w:val="20"/>
        </w:rPr>
        <w:t>[        ]</w:t>
      </w:r>
    </w:p>
    <w:p>
      <w:pPr>
        <w:pStyle w:val="Normal"/>
        <w:widowControl/>
        <w:jc w:val="both"/>
        <w:rPr>
          <w:color w:val="FF0000"/>
          <w:sz w:val="20"/>
        </w:rPr>
      </w:pPr>
      <w:r>
        <w:rPr>
          <w:color w:val="FF0000"/>
          <w:sz w:val="20"/>
        </w:rPr>
      </w:r>
    </w:p>
    <w:p>
      <w:pPr>
        <w:pStyle w:val="Normal"/>
        <w:widowControl/>
        <w:jc w:val="both"/>
        <w:rPr/>
      </w:pPr>
      <w:r>
        <w:rPr>
          <w:sz w:val="20"/>
        </w:rPr>
        <w:t xml:space="preserve">The purpose of this letter agreement (this “Confirmation”) is to confirm the terms and conditions of the Transaction entered into between us on the Trade Date specified below (the “Transaction”). This Confirmation constitutes a “Confirmation” as referred to in the </w:t>
      </w:r>
      <w:r>
        <w:rPr>
          <w:color w:val="FF00FF"/>
          <w:sz w:val="20"/>
        </w:rPr>
        <w:t>ISDA Master Agreement</w:t>
      </w:r>
      <w:r>
        <w:rPr>
          <w:sz w:val="20"/>
        </w:rPr>
        <w:t xml:space="preserve"> specified below.</w:t>
      </w:r>
    </w:p>
    <w:p>
      <w:pPr>
        <w:pStyle w:val="Normal"/>
        <w:widowControl/>
        <w:jc w:val="both"/>
        <w:rPr>
          <w:sz w:val="20"/>
        </w:rPr>
      </w:pPr>
      <w:r>
        <w:rPr>
          <w:sz w:val="20"/>
        </w:rPr>
      </w:r>
    </w:p>
    <w:p>
      <w:pPr>
        <w:pStyle w:val="Normal"/>
        <w:widowControl/>
        <w:jc w:val="both"/>
        <w:rPr/>
      </w:pPr>
      <w:r>
        <w:rPr>
          <w:sz w:val="20"/>
        </w:rPr>
        <w:t>1.</w:t>
        <w:tab/>
        <w:t xml:space="preserve">This Confirmation supplements, forms part of, and is subject to, the </w:t>
      </w:r>
      <w:r>
        <w:rPr>
          <w:color w:val="FF00FF"/>
          <w:sz w:val="20"/>
        </w:rPr>
        <w:t>ISDA Master Agreement</w:t>
      </w:r>
      <w:r>
        <w:rPr>
          <w:sz w:val="20"/>
        </w:rPr>
        <w:t xml:space="preserve"> dated as of September [  ], 2000 as amended and supplemented from time to time (the “Agreement”), between you and us.  All provisions contained in the Agreement govern this Confirmation except as expressly modified below.</w:t>
      </w:r>
    </w:p>
    <w:p>
      <w:pPr>
        <w:pStyle w:val="Normal"/>
        <w:widowControl/>
        <w:jc w:val="both"/>
        <w:rPr>
          <w:sz w:val="20"/>
        </w:rPr>
      </w:pPr>
      <w:r>
        <w:rPr>
          <w:sz w:val="20"/>
        </w:rPr>
      </w:r>
    </w:p>
    <w:p>
      <w:pPr>
        <w:pStyle w:val="Normal"/>
        <w:widowControl/>
        <w:jc w:val="both"/>
        <w:rPr>
          <w:sz w:val="20"/>
        </w:rPr>
      </w:pPr>
      <w:r>
        <w:rPr>
          <w:sz w:val="20"/>
        </w:rPr>
        <w:t>2.</w:t>
        <w:tab/>
        <w:t>The terms of the particular Transaction to which this Confirmation relates are as follows:</w:t>
      </w:r>
    </w:p>
    <w:p>
      <w:pPr>
        <w:pStyle w:val="Normal"/>
        <w:widowControl/>
        <w:jc w:val="both"/>
        <w:rPr>
          <w:sz w:val="20"/>
        </w:rPr>
      </w:pPr>
      <w:r>
        <w:rPr>
          <w:sz w:val="20"/>
        </w:rPr>
      </w:r>
    </w:p>
    <w:p>
      <w:pPr>
        <w:pStyle w:val="BodyTextIndent"/>
        <w:widowControl/>
        <w:ind w:start="0" w:end="0"/>
        <w:rPr>
          <w:b/>
        </w:rPr>
      </w:pPr>
      <w:r>
        <w:rPr>
          <w:b/>
        </w:rPr>
        <w:t>General Terms:</w:t>
        <w:tab/>
      </w:r>
    </w:p>
    <w:p>
      <w:pPr>
        <w:pStyle w:val="BodyTextIndent"/>
        <w:widowControl/>
        <w:rPr>
          <w:b/>
        </w:rPr>
      </w:pPr>
      <w:r>
        <w:rPr>
          <w:b/>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 xml:space="preserve">Notional Amount: </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For each Calculation Period, the amount set forth in Exhibit I attached hereto opposite such Calculation Period and under the heading ‘Notional Amount”</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 xml:space="preserve">Trade Date: </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September 22, 2000</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Effective Date:</w:t>
              <w:tab/>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September 22, 2000</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Termination Date:</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September 30, 2001, subject to adjustment in accordance with the Modified Following Business Day Convention</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bl>
    <w:p>
      <w:pPr>
        <w:pStyle w:val="BodyTextIndent"/>
        <w:widowControl/>
        <w:tabs>
          <w:tab w:val="left" w:pos="90" w:leader="none"/>
          <w:tab w:val="left" w:pos="2160" w:leader="none"/>
          <w:tab w:val="left" w:pos="4140" w:leader="none"/>
          <w:tab w:val="left" w:pos="4320" w:leader="none"/>
          <w:tab w:val="left" w:pos="6480" w:leader="none"/>
        </w:tabs>
        <w:ind w:start="-90" w:end="0"/>
        <w:rPr>
          <w:b/>
        </w:rPr>
      </w:pPr>
      <w:r>
        <w:rPr>
          <w:b/>
        </w:rPr>
      </w:r>
    </w:p>
    <w:p>
      <w:pPr>
        <w:pStyle w:val="BodyTextIndent"/>
        <w:widowControl/>
        <w:tabs>
          <w:tab w:val="left" w:pos="90" w:leader="none"/>
          <w:tab w:val="left" w:pos="2160" w:leader="none"/>
          <w:tab w:val="left" w:pos="4140" w:leader="none"/>
          <w:tab w:val="left" w:pos="4320" w:leader="none"/>
          <w:tab w:val="left" w:pos="6480" w:leader="none"/>
        </w:tabs>
        <w:ind w:start="-90" w:end="0"/>
        <w:rPr>
          <w:b/>
        </w:rPr>
      </w:pPr>
      <w:r>
        <w:rPr>
          <w:b/>
        </w:rPr>
        <w:t xml:space="preserve">Fixed Amounts: </w:t>
      </w:r>
    </w:p>
    <w:p>
      <w:pPr>
        <w:pStyle w:val="BodyTextIndent"/>
        <w:widowControl/>
        <w:tabs>
          <w:tab w:val="left" w:pos="90" w:leader="none"/>
          <w:tab w:val="left" w:pos="2160" w:leader="none"/>
          <w:tab w:val="left" w:pos="4140" w:leader="none"/>
          <w:tab w:val="left" w:pos="6480" w:leader="none"/>
        </w:tabs>
        <w:ind w:hanging="720" w:start="0" w:end="0"/>
        <w:rPr/>
      </w:pPr>
      <w:r>
        <w:rPr/>
        <w:tab/>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Fixed Rate Payer:</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Party B</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 xml:space="preserve">Fixed Rate Payer </w:t>
            </w:r>
          </w:p>
          <w:p>
            <w:pPr>
              <w:pStyle w:val="BodyTextIndent"/>
              <w:widowControl/>
              <w:tabs>
                <w:tab w:val="left" w:pos="90" w:leader="none"/>
                <w:tab w:val="left" w:pos="2160" w:leader="none"/>
                <w:tab w:val="left" w:pos="4140" w:leader="none"/>
                <w:tab w:val="left" w:pos="6480" w:leader="none"/>
              </w:tabs>
              <w:ind w:firstLine="720" w:start="0" w:end="0"/>
              <w:rPr/>
            </w:pPr>
            <w:r>
              <w:rPr/>
              <w:t>Payment Dates:</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The last calendar day of each month from and including October [30], 2000 to and including the Termination Date, subject to adjustment in accordance with the Modified Following Business Day Convention</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Fixed Rate:</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         ] percent</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 xml:space="preserve">Fixed Rate </w:t>
            </w:r>
          </w:p>
          <w:p>
            <w:pPr>
              <w:pStyle w:val="BodyTextIndent"/>
              <w:widowControl/>
              <w:tabs>
                <w:tab w:val="left" w:pos="90" w:leader="none"/>
                <w:tab w:val="left" w:pos="2160" w:leader="none"/>
                <w:tab w:val="left" w:pos="4140" w:leader="none"/>
                <w:tab w:val="left" w:pos="6480" w:leader="none"/>
              </w:tabs>
              <w:ind w:firstLine="720" w:start="0" w:end="0"/>
              <w:rPr/>
            </w:pPr>
            <w:r>
              <w:rPr/>
              <w:t xml:space="preserve">Day Count Fraction: </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[Actual/360]</w:t>
            </w:r>
          </w:p>
        </w:tc>
      </w:tr>
    </w:tbl>
    <w:p>
      <w:pPr>
        <w:pStyle w:val="BodyTextIndent"/>
        <w:widowControl/>
        <w:tabs>
          <w:tab w:val="left" w:pos="90" w:leader="none"/>
          <w:tab w:val="left" w:pos="2160" w:leader="none"/>
          <w:tab w:val="left" w:pos="4140" w:leader="none"/>
          <w:tab w:val="left" w:pos="4320" w:leader="none"/>
          <w:tab w:val="left" w:pos="6480" w:leader="none"/>
        </w:tabs>
        <w:rPr>
          <w:b/>
        </w:rPr>
      </w:pPr>
      <w:r>
        <w:rPr>
          <w:b/>
        </w:rPr>
      </w:r>
    </w:p>
    <w:p>
      <w:pPr>
        <w:pStyle w:val="BodyTextIndent"/>
        <w:widowControl/>
        <w:tabs>
          <w:tab w:val="left" w:pos="90" w:leader="none"/>
          <w:tab w:val="left" w:pos="2160" w:leader="none"/>
          <w:tab w:val="left" w:pos="4140" w:leader="none"/>
          <w:tab w:val="left" w:pos="4320" w:leader="none"/>
          <w:tab w:val="left" w:pos="6480" w:leader="none"/>
        </w:tabs>
        <w:ind w:start="0" w:end="0"/>
        <w:rPr/>
      </w:pPr>
      <w:r>
        <w:rPr>
          <w:b/>
        </w:rPr>
        <w:t>Floating Amounts:</w:t>
      </w:r>
      <w:r>
        <w:rPr/>
        <w:t xml:space="preserve"> </w:t>
      </w:r>
    </w:p>
    <w:p>
      <w:pPr>
        <w:pStyle w:val="BodyTextIndent"/>
        <w:widowControl/>
        <w:tabs>
          <w:tab w:val="left" w:pos="90" w:leader="none"/>
          <w:tab w:val="left" w:pos="2160" w:leader="none"/>
          <w:tab w:val="left" w:pos="4140" w:leader="none"/>
          <w:tab w:val="left" w:pos="4320" w:leader="none"/>
          <w:tab w:val="left" w:pos="6480" w:leader="none"/>
        </w:tabs>
        <w:rPr/>
      </w:pPr>
      <w:r>
        <w:rPr/>
      </w:r>
    </w:p>
    <w:tbl>
      <w:tblPr>
        <w:tblW w:w="8856" w:type="dxa"/>
        <w:jc w:val="start"/>
        <w:tblInd w:w="0" w:type="dxa"/>
        <w:tblLayout w:type="fixed"/>
        <w:tblCellMar>
          <w:top w:w="0" w:type="dxa"/>
          <w:start w:w="108" w:type="dxa"/>
          <w:bottom w:w="0" w:type="dxa"/>
          <w:end w:w="108" w:type="dxa"/>
        </w:tblCellMar>
      </w:tblPr>
      <w:tblGrid>
        <w:gridCol w:w="3528"/>
        <w:gridCol w:w="900"/>
        <w:gridCol w:w="4428"/>
      </w:tblGrid>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Floating Rate Payer:</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Party A</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Floating Rate Option:</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                ]</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Designated Maturity:</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                ]</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Floating Rate Payer</w:t>
            </w:r>
          </w:p>
          <w:p>
            <w:pPr>
              <w:pStyle w:val="BodyTextIndent"/>
              <w:widowControl/>
              <w:tabs>
                <w:tab w:val="clear" w:pos="90"/>
                <w:tab w:val="left" w:pos="0" w:leader="none"/>
                <w:tab w:val="left" w:pos="2160" w:leader="none"/>
                <w:tab w:val="left" w:pos="4140" w:leader="none"/>
                <w:tab w:val="left" w:pos="6480" w:leader="none"/>
              </w:tabs>
              <w:ind w:start="720" w:end="0"/>
              <w:jc w:val="start"/>
              <w:rPr/>
            </w:pPr>
            <w:r>
              <w:rPr/>
              <w:t>Payment Dates:</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The last calendar day of each month from and including [October 30, 2000] to and including the Termination Date, subject to adjustment in accordance with the Modified Following Business Day Convention</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 xml:space="preserve">Floating Rate </w:t>
            </w:r>
          </w:p>
          <w:p>
            <w:pPr>
              <w:pStyle w:val="BodyTextIndent"/>
              <w:widowControl/>
              <w:tabs>
                <w:tab w:val="clear" w:pos="90"/>
                <w:tab w:val="left" w:pos="0" w:leader="none"/>
                <w:tab w:val="left" w:pos="2160" w:leader="none"/>
                <w:tab w:val="left" w:pos="4140" w:leader="none"/>
                <w:tab w:val="left" w:pos="6480" w:leader="none"/>
              </w:tabs>
              <w:ind w:start="720" w:end="0"/>
              <w:jc w:val="start"/>
              <w:rPr/>
            </w:pPr>
            <w:r>
              <w:rPr/>
              <w:t xml:space="preserve">Day Count Fraction: </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[Actual/360]</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Reset Dates:</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The first day of each Floating Rate Payer Calculation Period</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hanging="720" w:start="720" w:end="0"/>
              <w:jc w:val="start"/>
              <w:rPr>
                <w:b/>
              </w:rPr>
            </w:pPr>
            <w:r>
              <w:rPr>
                <w:b/>
              </w:rPr>
              <w:t>Other Provisions:</w:t>
            </w:r>
          </w:p>
        </w:tc>
        <w:tc>
          <w:tcPr>
            <w:tcW w:w="4428" w:type="dxa"/>
            <w:tcBorders/>
          </w:tcPr>
          <w:p>
            <w:pPr>
              <w:pStyle w:val="BodyText2"/>
              <w:numPr>
                <w:ilvl w:val="0"/>
                <w:numId w:val="1"/>
              </w:numPr>
              <w:ind w:hanging="342" w:start="342" w:end="0"/>
              <w:rPr>
                <w:sz w:val="20"/>
              </w:rPr>
            </w:pPr>
            <w:r>
              <w:rPr>
                <w:sz w:val="20"/>
              </w:rPr>
              <w:t>For the purpose of Section 6(e) of the ISDA Master Agreement:  (i) Market Quotation will apply, and (ii) the Second Method will apply.</w:t>
            </w:r>
          </w:p>
          <w:p>
            <w:pPr>
              <w:pStyle w:val="Normal"/>
              <w:numPr>
                <w:ilvl w:val="0"/>
                <w:numId w:val="1"/>
              </w:numPr>
              <w:tabs>
                <w:tab w:val="clear" w:pos="720"/>
                <w:tab w:val="left" w:pos="342" w:leader="none"/>
              </w:tabs>
              <w:ind w:hanging="342" w:start="342" w:end="0"/>
              <w:jc w:val="both"/>
              <w:rPr>
                <w:sz w:val="20"/>
              </w:rPr>
            </w:pPr>
            <w:r>
              <w:rPr>
                <w:sz w:val="20"/>
              </w:rPr>
              <w:t>"Termination Currency" means Canadian Dollars.</w:t>
            </w:r>
          </w:p>
          <w:p>
            <w:pPr>
              <w:pStyle w:val="BodyTextIndent"/>
              <w:widowControl/>
              <w:numPr>
                <w:ilvl w:val="0"/>
                <w:numId w:val="1"/>
              </w:numPr>
              <w:tabs>
                <w:tab w:val="clear" w:pos="90"/>
                <w:tab w:val="left" w:pos="342" w:leader="none"/>
                <w:tab w:val="left" w:pos="2160" w:leader="none"/>
                <w:tab w:val="left" w:pos="4140" w:leader="none"/>
                <w:tab w:val="left" w:pos="6480" w:leader="none"/>
              </w:tabs>
              <w:ind w:hanging="342" w:start="342" w:end="0"/>
              <w:rPr/>
            </w:pPr>
            <w:r>
              <w:rPr/>
              <w:t>For purposes of Paragraph 13 of the ISDA Credit Support Annex, “Valuation Date” shall mean any Friday during the Term of this Transaction, subject to adjustment in accordance with the Modified Following Business Day Convention.</w:t>
            </w:r>
          </w:p>
          <w:p>
            <w:pPr>
              <w:pStyle w:val="BodyTextIndent"/>
              <w:widowControl/>
              <w:tabs>
                <w:tab w:val="clear" w:pos="90"/>
                <w:tab w:val="left" w:pos="342" w:leader="none"/>
                <w:tab w:val="left" w:pos="2160" w:leader="none"/>
                <w:tab w:val="left" w:pos="4140" w:leader="none"/>
                <w:tab w:val="left" w:pos="6480" w:leader="none"/>
              </w:tabs>
              <w:ind w:hanging="360" w:start="360" w:end="0"/>
              <w:rPr/>
            </w:pPr>
            <w:r>
              <w:rPr/>
              <w:t>(d)</w:t>
              <w:tab/>
              <w:t>NOTE TO DRAFT:  bilateral optional early termination.</w:t>
            </w:r>
            <w:r>
              <w:rPr>
                <w:sz w:val="22"/>
              </w:rPr>
              <w:t xml:space="preserve"> </w:t>
            </w:r>
          </w:p>
          <w:p>
            <w:pPr>
              <w:pStyle w:val="BodyTextIndent"/>
              <w:widowControl/>
              <w:tabs>
                <w:tab w:val="clear" w:pos="90"/>
                <w:tab w:val="left" w:pos="342" w:leader="none"/>
                <w:tab w:val="left" w:pos="2160" w:leader="none"/>
                <w:tab w:val="left" w:pos="4140" w:leader="none"/>
                <w:tab w:val="left" w:pos="6480" w:leader="none"/>
              </w:tabs>
              <w:ind w:hanging="360" w:start="360" w:end="0"/>
              <w:rPr>
                <w:highlight w:val="red"/>
              </w:rPr>
            </w:pPr>
            <w:r>
              <w:rPr/>
              <w:t>(e)</w:t>
              <w:tab/>
              <w:t>NOTE TO DRAFT:  schedule for syndication pricing changes.</w:t>
            </w:r>
          </w:p>
        </w:tc>
      </w:tr>
      <w:tr>
        <w:trPr/>
        <w:tc>
          <w:tcPr>
            <w:tcW w:w="3528" w:type="dxa"/>
            <w:tcBorders/>
          </w:tcPr>
          <w:p>
            <w:pPr>
              <w:pStyle w:val="Normal"/>
              <w:widowControl/>
              <w:snapToGrid w:val="false"/>
              <w:spacing w:before="60" w:after="0"/>
              <w:jc w:val="both"/>
              <w:rPr>
                <w:sz w:val="20"/>
                <w:highlight w:val="red"/>
              </w:rPr>
            </w:pPr>
            <w:r>
              <w:rPr>
                <w:sz w:val="20"/>
                <w:highlight w:val="red"/>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3. Calculation Agent:</w:t>
            </w:r>
          </w:p>
        </w:tc>
        <w:tc>
          <w:tcPr>
            <w:tcW w:w="5328" w:type="dxa"/>
            <w:gridSpan w:val="2"/>
            <w:tcBorders/>
          </w:tcPr>
          <w:p>
            <w:pPr>
              <w:pStyle w:val="Normal"/>
              <w:widowControl/>
              <w:spacing w:before="60" w:after="0"/>
              <w:jc w:val="both"/>
              <w:rPr>
                <w:sz w:val="20"/>
              </w:rPr>
            </w:pPr>
            <w:r>
              <w:rPr>
                <w:sz w:val="20"/>
              </w:rPr>
              <w:t>Party A</w:t>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4. Account Details:</w:t>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270" w:end="0"/>
              <w:jc w:val="both"/>
              <w:rPr>
                <w:sz w:val="20"/>
              </w:rPr>
            </w:pPr>
            <w:r>
              <w:rPr>
                <w:sz w:val="20"/>
              </w:rPr>
              <w:t>Payments to Party A:</w:t>
            </w:r>
          </w:p>
        </w:tc>
        <w:tc>
          <w:tcPr>
            <w:tcW w:w="5328" w:type="dxa"/>
            <w:gridSpan w:val="2"/>
            <w:tcBorders/>
          </w:tcPr>
          <w:p>
            <w:pPr>
              <w:pStyle w:val="Normal"/>
              <w:widowControl/>
              <w:spacing w:before="60" w:after="0"/>
              <w:jc w:val="both"/>
              <w:rPr>
                <w:sz w:val="20"/>
              </w:rPr>
            </w:pPr>
            <w:r>
              <w:rPr>
                <w:sz w:val="20"/>
              </w:rPr>
              <w:t>Bank of [        ]</w:t>
            </w:r>
          </w:p>
          <w:p>
            <w:pPr>
              <w:pStyle w:val="Normal"/>
              <w:widowControl/>
              <w:spacing w:before="60" w:after="0"/>
              <w:jc w:val="both"/>
              <w:rPr>
                <w:sz w:val="20"/>
              </w:rPr>
            </w:pPr>
            <w:r>
              <w:rPr>
                <w:sz w:val="20"/>
              </w:rPr>
              <w:t>ABA [          ]</w:t>
            </w:r>
          </w:p>
          <w:p>
            <w:pPr>
              <w:pStyle w:val="Normal"/>
              <w:widowControl/>
              <w:spacing w:before="60" w:after="0"/>
              <w:jc w:val="both"/>
              <w:rPr>
                <w:sz w:val="20"/>
              </w:rPr>
            </w:pPr>
            <w:r>
              <w:rPr>
                <w:sz w:val="20"/>
              </w:rPr>
              <w:t>Acct.  [              ]</w:t>
            </w:r>
          </w:p>
        </w:tc>
      </w:tr>
      <w:tr>
        <w:trPr/>
        <w:tc>
          <w:tcPr>
            <w:tcW w:w="3528" w:type="dxa"/>
            <w:tcBorders/>
          </w:tcPr>
          <w:p>
            <w:pPr>
              <w:pStyle w:val="Normal"/>
              <w:widowControl/>
              <w:snapToGrid w:val="false"/>
              <w:spacing w:before="60" w:after="0"/>
              <w:ind w:start="27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270" w:end="0"/>
              <w:jc w:val="both"/>
              <w:rPr>
                <w:sz w:val="20"/>
              </w:rPr>
            </w:pPr>
            <w:r>
              <w:rPr>
                <w:sz w:val="20"/>
              </w:rPr>
              <w:t>Payments to Party B:</w:t>
            </w:r>
          </w:p>
        </w:tc>
        <w:tc>
          <w:tcPr>
            <w:tcW w:w="5328" w:type="dxa"/>
            <w:gridSpan w:val="2"/>
            <w:tcBorders/>
          </w:tcPr>
          <w:p>
            <w:pPr>
              <w:pStyle w:val="Normal"/>
              <w:widowControl/>
              <w:spacing w:before="60" w:after="0"/>
              <w:jc w:val="both"/>
              <w:rPr>
                <w:sz w:val="20"/>
              </w:rPr>
            </w:pPr>
            <w:r>
              <w:rPr>
                <w:sz w:val="20"/>
              </w:rPr>
              <w:t>Please advise</w:t>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bl>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 xml:space="preserve">Please confirm that the foregoing correctly sets forth the terms of our agreement by executing the copy of this </w:t>
      </w:r>
    </w:p>
    <w:p>
      <w:pPr>
        <w:pStyle w:val="Normal"/>
        <w:widowControl/>
        <w:jc w:val="both"/>
        <w:rPr>
          <w:sz w:val="20"/>
        </w:rPr>
      </w:pPr>
      <w:r>
        <w:rPr>
          <w:sz w:val="20"/>
        </w:rPr>
        <w:t>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widowControl/>
        <w:jc w:val="both"/>
        <w:rPr>
          <w:sz w:val="20"/>
        </w:rPr>
      </w:pPr>
      <w:r>
        <w:rPr>
          <w:sz w:val="20"/>
        </w:rPr>
        <w:t>Enron North America Corp. is pleased to have entered into this Transaction with you.</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ind w:firstLine="720" w:start="3600" w:end="0"/>
        <w:jc w:val="both"/>
        <w:rPr>
          <w:sz w:val="20"/>
        </w:rPr>
      </w:pPr>
      <w:r>
        <w:rPr>
          <w:sz w:val="20"/>
        </w:rPr>
        <w:t>Yours sincerely,</w:t>
      </w:r>
    </w:p>
    <w:p>
      <w:pPr>
        <w:pStyle w:val="Normal"/>
        <w:widowControl/>
        <w:jc w:val="both"/>
        <w:rPr>
          <w:sz w:val="20"/>
        </w:rPr>
      </w:pPr>
      <w:r>
        <w:rPr>
          <w:sz w:val="20"/>
        </w:rPr>
      </w:r>
    </w:p>
    <w:p>
      <w:pPr>
        <w:pStyle w:val="Normal"/>
        <w:widowControl/>
        <w:jc w:val="both"/>
        <w:rPr>
          <w:sz w:val="20"/>
        </w:rPr>
      </w:pPr>
      <w:r>
        <w:rPr>
          <w:sz w:val="20"/>
        </w:rPr>
        <w:tab/>
        <w:tab/>
        <w:tab/>
        <w:tab/>
        <w:tab/>
        <w:tab/>
        <w:t>Enron Canada Corp.</w:t>
      </w:r>
    </w:p>
    <w:p>
      <w:pPr>
        <w:pStyle w:val="Normal"/>
        <w:widowControl/>
        <w:jc w:val="both"/>
        <w:rPr>
          <w:sz w:val="20"/>
        </w:rPr>
      </w:pPr>
      <w:r>
        <w:rPr>
          <w:sz w:val="20"/>
        </w:rPr>
        <w:tab/>
        <w:tab/>
        <w:tab/>
        <w:tab/>
        <w:tab/>
        <w:tab/>
      </w:r>
    </w:p>
    <w:p>
      <w:pPr>
        <w:pStyle w:val="Normal"/>
        <w:widowControl/>
        <w:jc w:val="both"/>
        <w:rPr>
          <w:sz w:val="20"/>
        </w:rPr>
      </w:pPr>
      <w:r>
        <w:rPr>
          <w:sz w:val="20"/>
        </w:rPr>
      </w:r>
    </w:p>
    <w:p>
      <w:pPr>
        <w:pStyle w:val="Normal"/>
        <w:widowControl/>
        <w:jc w:val="both"/>
        <w:rPr>
          <w:sz w:val="20"/>
        </w:rPr>
      </w:pPr>
      <w:r>
        <w:rPr>
          <w:sz w:val="20"/>
        </w:rPr>
        <w:tab/>
        <w:tab/>
        <w:tab/>
        <w:tab/>
        <w:tab/>
        <w:tab/>
        <w:t>By:</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Royal Bank of Canada.</w:t>
      </w:r>
    </w:p>
    <w:p>
      <w:pPr>
        <w:pStyle w:val="Normal"/>
        <w:widowControl/>
        <w:jc w:val="both"/>
        <w:rPr>
          <w:sz w:val="20"/>
        </w:rPr>
      </w:pPr>
      <w:r>
        <w:rPr>
          <w:sz w:val="20"/>
        </w:rPr>
      </w:r>
    </w:p>
    <w:p>
      <w:pPr>
        <w:pStyle w:val="Normal"/>
        <w:widowControl/>
        <w:jc w:val="both"/>
        <w:rPr>
          <w:sz w:val="20"/>
        </w:rPr>
      </w:pPr>
      <w:r>
        <w:rPr>
          <w:sz w:val="20"/>
        </w:rPr>
        <w:t>By:  _____________________________</w:t>
      </w:r>
    </w:p>
    <w:p>
      <w:pPr>
        <w:pStyle w:val="Normal"/>
        <w:widowControl/>
        <w:jc w:val="both"/>
        <w:rPr>
          <w:sz w:val="20"/>
        </w:rPr>
      </w:pPr>
      <w:r>
        <w:rPr>
          <w:sz w:val="20"/>
        </w:rPr>
        <w:t>Name:  ___________________________</w:t>
      </w:r>
    </w:p>
    <w:p>
      <w:pPr>
        <w:pStyle w:val="Normal"/>
        <w:widowControl/>
        <w:jc w:val="both"/>
        <w:rPr>
          <w:sz w:val="20"/>
        </w:rPr>
      </w:pPr>
      <w:r>
        <w:rPr>
          <w:sz w:val="20"/>
        </w:rPr>
        <w:t>Title:  ____________________________</w:t>
      </w:r>
    </w:p>
    <w:p>
      <w:pPr>
        <w:pStyle w:val="Normal"/>
        <w:widowControl/>
        <w:jc w:val="both"/>
        <w:rPr>
          <w:sz w:val="20"/>
        </w:rPr>
      </w:pPr>
      <w:r>
        <w:rPr>
          <w:sz w:val="20"/>
        </w:rPr>
      </w:r>
      <w:r>
        <w:br w:type="page"/>
      </w:r>
    </w:p>
    <w:p>
      <w:pPr>
        <w:pStyle w:val="Normal"/>
        <w:widowControl/>
        <w:jc w:val="center"/>
        <w:rPr>
          <w:sz w:val="20"/>
        </w:rPr>
      </w:pPr>
      <w:r>
        <w:rPr>
          <w:sz w:val="20"/>
        </w:rPr>
        <w:t>Exhibit I</w:t>
      </w:r>
    </w:p>
    <w:p>
      <w:pPr>
        <w:pStyle w:val="Normal"/>
        <w:widowControl/>
        <w:jc w:val="center"/>
        <w:rPr>
          <w:sz w:val="20"/>
        </w:rPr>
      </w:pPr>
      <w:r>
        <w:rPr>
          <w:sz w:val="20"/>
        </w:rPr>
      </w:r>
    </w:p>
    <w:tbl>
      <w:tblPr>
        <w:tblW w:w="8586" w:type="dxa"/>
        <w:jc w:val="start"/>
        <w:tblInd w:w="0" w:type="dxa"/>
        <w:tblLayout w:type="fixed"/>
        <w:tblCellMar>
          <w:top w:w="0" w:type="dxa"/>
          <w:start w:w="108" w:type="dxa"/>
          <w:bottom w:w="0" w:type="dxa"/>
          <w:end w:w="108" w:type="dxa"/>
        </w:tblCellMar>
      </w:tblPr>
      <w:tblGrid>
        <w:gridCol w:w="3798"/>
        <w:gridCol w:w="4788"/>
      </w:tblGrid>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Fixed Rate Payer and Floating Rate Payer Calculation Period*</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Notional Amount</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bl>
    <w:p>
      <w:pPr>
        <w:pStyle w:val="Normal"/>
        <w:widowControl/>
        <w:rPr>
          <w:sz w:val="20"/>
        </w:rPr>
      </w:pPr>
      <w:r>
        <w:rPr>
          <w:sz w:val="20"/>
        </w:rPr>
        <w:t>*Subject to adjustment in accordance with Modified Following Business Day Convention</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/mnt/main-storage/datasets/enron-docs/doc/ECCRBCrate-750bee598afe83a3a33d65b2f987aaf4bac17324b1ebfcea37c17b32c21e67ce.doc</w:t>
    </w:r>
    <w:r>
      <w:rPr>
        <w:sz w:val="16"/>
      </w:rPr>
      <w:fldChar w:fldCharType="end"/>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rPr>
    </w:pPr>
    <w:r>
      <w:rPr>
        <w:sz w:val="20"/>
      </w:rPr>
      <w:t>Deal No. M275489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b/>
      <w:u w:val="single"/>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z w:val="20"/>
    </w:rPr>
  </w:style>
  <w:style w:type="paragraph" w:styleId="BodyText2">
    <w:name w:val="Body Text 2"/>
    <w:basedOn w:val="Normal"/>
    <w:qFormat/>
    <w:pPr>
      <w:widowControl/>
      <w:tabs>
        <w:tab w:val="clear" w:pos="720"/>
        <w:tab w:val="left" w:pos="342" w:leader="none"/>
      </w:tabs>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2000-09-19T10:49:00Z</dcterms:created>
  <dc:creator>ECT</dc:creator>
  <dc:description/>
  <dc:language>en-CA</dc:language>
  <cp:lastModifiedBy>kellis</cp:lastModifiedBy>
  <cp:lastPrinted>2000-09-19T16:08:00Z</cp:lastPrinted>
  <dcterms:modified xsi:type="dcterms:W3CDTF">2000-09-19T18:38:00Z</dcterms:modified>
  <cp:revision>18</cp:revision>
  <dc:subject/>
  <dc:title> 1400 Smith  Houston, TX 77002 (713) 853-3300 Fax (713) 646-4816</dc:title>
</cp:coreProperties>
</file>