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jc w:val="both"/>
        <w:rPr>
          <w:sz w:val="20"/>
        </w:rPr>
      </w:pPr>
      <w:r>
        <w:rPr>
          <w:sz w:val="20"/>
        </w:rPr>
        <w:t>Date:</w:t>
        <w:tab/>
        <w:tab/>
        <w:t>September 28, 2000</w:t>
      </w:r>
    </w:p>
    <w:p>
      <w:pPr>
        <w:pStyle w:val="Normal"/>
        <w:widowControl/>
        <w:jc w:val="both"/>
        <w:rPr>
          <w:sz w:val="20"/>
        </w:rPr>
      </w:pPr>
      <w:r>
        <w:rPr>
          <w:sz w:val="20"/>
        </w:rPr>
      </w:r>
    </w:p>
    <w:p>
      <w:pPr>
        <w:pStyle w:val="Normal"/>
        <w:widowControl/>
        <w:jc w:val="both"/>
        <w:rPr>
          <w:sz w:val="20"/>
        </w:rPr>
      </w:pPr>
      <w:r>
        <w:rPr>
          <w:sz w:val="20"/>
        </w:rPr>
        <w:t xml:space="preserve">To: </w:t>
        <w:tab/>
        <w:tab/>
        <w:t>Royal Bank of Canada (“Party B”)</w:t>
      </w:r>
    </w:p>
    <w:p>
      <w:pPr>
        <w:pStyle w:val="Normal"/>
        <w:widowControl/>
        <w:jc w:val="both"/>
        <w:rPr>
          <w:sz w:val="20"/>
        </w:rPr>
      </w:pPr>
      <w:r>
        <w:rPr>
          <w:sz w:val="20"/>
        </w:rPr>
      </w:r>
    </w:p>
    <w:p>
      <w:pPr>
        <w:pStyle w:val="Normal"/>
        <w:widowControl/>
        <w:jc w:val="both"/>
        <w:rPr>
          <w:sz w:val="20"/>
        </w:rPr>
      </w:pPr>
      <w:r>
        <w:rPr>
          <w:sz w:val="20"/>
        </w:rPr>
        <w:t>Attention:</w:t>
        <w:tab/>
        <w:t>[                    ]</w:t>
      </w:r>
    </w:p>
    <w:p>
      <w:pPr>
        <w:pStyle w:val="Normal"/>
        <w:widowControl/>
        <w:jc w:val="both"/>
        <w:rPr>
          <w:sz w:val="20"/>
        </w:rPr>
      </w:pPr>
      <w:r>
        <w:rPr>
          <w:sz w:val="20"/>
        </w:rPr>
      </w:r>
    </w:p>
    <w:p>
      <w:pPr>
        <w:pStyle w:val="Normal"/>
        <w:widowControl/>
        <w:jc w:val="both"/>
        <w:rPr>
          <w:sz w:val="20"/>
        </w:rPr>
      </w:pPr>
      <w:r>
        <w:rPr>
          <w:sz w:val="20"/>
        </w:rPr>
        <w:t>From:</w:t>
        <w:tab/>
        <w:tab/>
        <w:t>Enron Canada Corp. (“Party A”)</w:t>
      </w:r>
    </w:p>
    <w:p>
      <w:pPr>
        <w:pStyle w:val="Normal"/>
        <w:widowControl/>
        <w:jc w:val="both"/>
        <w:rPr>
          <w:sz w:val="20"/>
        </w:rPr>
      </w:pPr>
      <w:r>
        <w:rPr>
          <w:sz w:val="20"/>
        </w:rPr>
      </w:r>
    </w:p>
    <w:p>
      <w:pPr>
        <w:pStyle w:val="Normal"/>
        <w:widowControl/>
        <w:jc w:val="both"/>
        <w:rPr/>
      </w:pPr>
      <w:r>
        <w:rPr>
          <w:sz w:val="20"/>
        </w:rPr>
        <w:t>RE:</w:t>
        <w:tab/>
        <w:tab/>
        <w:t xml:space="preserve">Rate Swap Transaction; Deal No. </w:t>
      </w:r>
      <w:r>
        <w:rPr>
          <w:color w:val="FF0000"/>
          <w:sz w:val="20"/>
        </w:rPr>
        <w:t>[        ]</w:t>
      </w:r>
    </w:p>
    <w:p>
      <w:pPr>
        <w:pStyle w:val="Normal"/>
        <w:widowControl/>
        <w:jc w:val="both"/>
        <w:rPr>
          <w:color w:val="FF0000"/>
          <w:sz w:val="20"/>
        </w:rPr>
      </w:pPr>
      <w:r>
        <w:rPr>
          <w:color w:val="FF0000"/>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r>
        <w:rPr>
          <w:color w:val="FF00FF"/>
          <w:sz w:val="20"/>
        </w:rPr>
        <w:t>ISDA Master Agreement</w:t>
      </w:r>
      <w:r>
        <w:rPr>
          <w:sz w:val="20"/>
        </w:rPr>
        <w:t xml:space="preserve"> specified below.</w:t>
      </w:r>
    </w:p>
    <w:p>
      <w:pPr>
        <w:pStyle w:val="Normal"/>
        <w:widowControl/>
        <w:jc w:val="both"/>
        <w:rPr>
          <w:sz w:val="20"/>
        </w:rPr>
      </w:pPr>
      <w:r>
        <w:rPr>
          <w:sz w:val="20"/>
        </w:rPr>
      </w:r>
    </w:p>
    <w:p>
      <w:pPr>
        <w:pStyle w:val="Normal"/>
        <w:widowControl/>
        <w:jc w:val="both"/>
        <w:rPr/>
      </w:pPr>
      <w:r>
        <w:rPr>
          <w:sz w:val="20"/>
        </w:rPr>
        <w:t>1.</w:t>
        <w:tab/>
        <w:t xml:space="preserve">This Confirmation supplements, forms part of, and is subject to, the </w:t>
      </w:r>
      <w:r>
        <w:rPr>
          <w:color w:val="FF00FF"/>
          <w:sz w:val="20"/>
        </w:rPr>
        <w:t>ISDA Master Agreement</w:t>
      </w:r>
      <w:r>
        <w:rPr>
          <w:sz w:val="20"/>
        </w:rPr>
        <w:t xml:space="preserve"> dated as of September [28], 2000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For each Calculation Period, the amount set forth in Exhibit I attached hereto opposite such Calculation Period and under the heading ‘Notional Amount”</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September 28,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September 28,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September 27, 2001,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October [30], 2000 to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Indent"/>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bl>
    <w:p>
      <w:pPr>
        <w:pStyle w:val="BodyTextIndent"/>
        <w:widowControl/>
        <w:tabs>
          <w:tab w:val="left" w:pos="90" w:leader="none"/>
          <w:tab w:val="left" w:pos="2160" w:leader="none"/>
          <w:tab w:val="left" w:pos="4140" w:leader="none"/>
          <w:tab w:val="left" w:pos="4320" w:leader="none"/>
          <w:tab w:val="left" w:pos="6480" w:leader="none"/>
        </w:tabs>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[A]</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[October 30, 2000] to and including the Termination Date, subject to adjustment in accordance with the Modified Following Business Day Convention</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hanging="720" w:start="720" w:end="0"/>
              <w:jc w:val="start"/>
              <w:rPr>
                <w:b/>
              </w:rPr>
            </w:pPr>
            <w:r>
              <w:rPr>
                <w:b/>
              </w:rPr>
              <w:t>Other Provisions:</w:t>
            </w:r>
          </w:p>
        </w:tc>
        <w:tc>
          <w:tcPr>
            <w:tcW w:w="4428" w:type="dxa"/>
            <w:tcBorders/>
          </w:tcPr>
          <w:p>
            <w:pPr>
              <w:pStyle w:val="BodyTextIndent"/>
              <w:widowControl/>
              <w:tabs>
                <w:tab w:val="clear" w:pos="90"/>
                <w:tab w:val="left" w:pos="2160" w:leader="none"/>
                <w:tab w:val="left" w:pos="4140" w:leader="none"/>
                <w:tab w:val="left" w:pos="6480" w:leader="none"/>
              </w:tabs>
              <w:ind w:firstLine="18" w:start="-18" w:end="0"/>
              <w:rPr>
                <w:highlight w:val="red"/>
              </w:rPr>
            </w:pPr>
            <w:r>
              <w:rPr/>
              <w:t>Optional Termination:  Either party may, upon [two (2)] days written notice to the other party, terminate this Transaction by designating to such other party the termination date for this Transaction.  In the event a party exercises its right of optional termination hereunder, the provisions of Section 6(e)(i)(3) shall apply for purposes of calculating the Settlement Amount and will be payable as provided in Section 6(e)(i)(3) assuming that the party electing to terminate is the Defaulting Party.</w:t>
            </w:r>
          </w:p>
        </w:tc>
      </w:tr>
      <w:tr>
        <w:trPr/>
        <w:tc>
          <w:tcPr>
            <w:tcW w:w="4428" w:type="dxa"/>
            <w:tcBorders/>
          </w:tcPr>
          <w:p>
            <w:pPr>
              <w:pStyle w:val="Normal"/>
              <w:widowControl/>
              <w:snapToGrid w:val="false"/>
              <w:spacing w:before="60" w:after="0"/>
              <w:jc w:val="both"/>
              <w:rPr>
                <w:sz w:val="20"/>
                <w:highlight w:val="red"/>
              </w:rPr>
            </w:pPr>
            <w:r>
              <w:rPr>
                <w:sz w:val="20"/>
                <w:highlight w:val="red"/>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3. Calculation Agent:</w:t>
            </w:r>
          </w:p>
        </w:tc>
        <w:tc>
          <w:tcPr>
            <w:tcW w:w="4428" w:type="dxa"/>
            <w:tcBorders/>
          </w:tcPr>
          <w:p>
            <w:pPr>
              <w:pStyle w:val="Normal"/>
              <w:widowControl/>
              <w:spacing w:before="60" w:after="0"/>
              <w:jc w:val="both"/>
              <w:rPr>
                <w:sz w:val="20"/>
              </w:rPr>
            </w:pPr>
            <w:r>
              <w:rPr>
                <w:sz w:val="20"/>
              </w:rPr>
              <w:t>Party A</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4. Account Details:</w:t>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A:</w:t>
            </w:r>
          </w:p>
        </w:tc>
        <w:tc>
          <w:tcPr>
            <w:tcW w:w="4428" w:type="dxa"/>
            <w:tcBorders/>
          </w:tcPr>
          <w:p>
            <w:pPr>
              <w:pStyle w:val="Normal"/>
              <w:jc w:val="both"/>
              <w:rPr>
                <w:sz w:val="20"/>
              </w:rPr>
            </w:pPr>
            <w:r>
              <w:rPr>
                <w:sz w:val="20"/>
              </w:rPr>
              <w:t>Bank of Montreal</w:t>
            </w:r>
          </w:p>
          <w:p>
            <w:pPr>
              <w:pStyle w:val="Normal"/>
              <w:jc w:val="both"/>
              <w:rPr>
                <w:sz w:val="20"/>
              </w:rPr>
            </w:pPr>
            <w:r>
              <w:rPr>
                <w:sz w:val="20"/>
              </w:rPr>
              <w:t>BOFMCAM2</w:t>
            </w:r>
          </w:p>
          <w:p>
            <w:pPr>
              <w:pStyle w:val="Normal"/>
              <w:jc w:val="both"/>
              <w:rPr>
                <w:sz w:val="20"/>
              </w:rPr>
            </w:pPr>
            <w:r>
              <w:rPr>
                <w:sz w:val="20"/>
              </w:rPr>
              <w:t>City Bank Canada</w:t>
            </w:r>
          </w:p>
          <w:p>
            <w:pPr>
              <w:pStyle w:val="Normal"/>
              <w:jc w:val="both"/>
              <w:rPr>
                <w:sz w:val="20"/>
              </w:rPr>
            </w:pPr>
            <w:r>
              <w:rPr>
                <w:sz w:val="20"/>
              </w:rPr>
              <w:t>Acct. No. 1017-221</w:t>
            </w:r>
          </w:p>
          <w:p>
            <w:pPr>
              <w:pStyle w:val="Normal"/>
              <w:jc w:val="both"/>
              <w:rPr>
                <w:sz w:val="20"/>
              </w:rPr>
            </w:pPr>
            <w:r>
              <w:rPr>
                <w:sz w:val="20"/>
              </w:rPr>
              <w:t>For credit of Enron Canada Corp.</w:t>
            </w:r>
          </w:p>
          <w:p>
            <w:pPr>
              <w:pStyle w:val="BodyText2"/>
              <w:rPr>
                <w:sz w:val="20"/>
              </w:rPr>
            </w:pPr>
            <w:r>
              <w:rPr>
                <w:sz w:val="20"/>
              </w:rPr>
              <w:t>Acct. No.  2013578009</w:t>
            </w:r>
          </w:p>
        </w:tc>
      </w:tr>
      <w:tr>
        <w:trPr/>
        <w:tc>
          <w:tcPr>
            <w:tcW w:w="4428" w:type="dxa"/>
            <w:tcBorders/>
          </w:tcPr>
          <w:p>
            <w:pPr>
              <w:pStyle w:val="Normal"/>
              <w:widowControl/>
              <w:snapToGrid w:val="false"/>
              <w:spacing w:before="60" w:after="0"/>
              <w:ind w:start="270" w:end="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B:</w:t>
            </w:r>
          </w:p>
        </w:tc>
        <w:tc>
          <w:tcPr>
            <w:tcW w:w="4428" w:type="dxa"/>
            <w:tcBorders/>
          </w:tcPr>
          <w:p>
            <w:pPr>
              <w:pStyle w:val="Normal"/>
              <w:widowControl/>
              <w:spacing w:before="60" w:after="0"/>
              <w:jc w:val="both"/>
              <w:rPr>
                <w:sz w:val="20"/>
              </w:rPr>
            </w:pPr>
            <w:r>
              <w:rPr>
                <w:sz w:val="20"/>
              </w:rPr>
              <w:t>Please advise</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 xml:space="preserve">Please confirm that the foregoing correctly sets forth the terms of our agreement by executing the copy of this </w:t>
      </w:r>
    </w:p>
    <w:p>
      <w:pPr>
        <w:pStyle w:val="Normal"/>
        <w:widowControl/>
        <w:jc w:val="both"/>
        <w:rPr>
          <w:sz w:val="20"/>
        </w:rPr>
      </w:pPr>
      <w:r>
        <w:rPr>
          <w:sz w:val="20"/>
        </w:rPr>
        <w:t>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Canada Corp.</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Royal Bank of Canada</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widowControl/>
        <w:jc w:val="both"/>
        <w:rPr>
          <w:sz w:val="20"/>
        </w:rPr>
      </w:pPr>
      <w:r>
        <w:rPr>
          <w:sz w:val="20"/>
        </w:rPr>
      </w:r>
      <w:r>
        <w:br w:type="page"/>
      </w:r>
    </w:p>
    <w:p>
      <w:pPr>
        <w:pStyle w:val="Normal"/>
        <w:widowControl/>
        <w:jc w:val="center"/>
        <w:rPr>
          <w:sz w:val="20"/>
        </w:rPr>
      </w:pPr>
      <w:r>
        <w:rPr>
          <w:sz w:val="20"/>
        </w:rPr>
        <w:t>Exhibit I</w:t>
      </w:r>
    </w:p>
    <w:p>
      <w:pPr>
        <w:pStyle w:val="Normal"/>
        <w:widowControl/>
        <w:jc w:val="center"/>
        <w:rPr>
          <w:sz w:val="20"/>
        </w:rPr>
      </w:pPr>
      <w:r>
        <w:rPr>
          <w:sz w:val="20"/>
        </w:rPr>
      </w:r>
    </w:p>
    <w:tbl>
      <w:tblPr>
        <w:tblW w:w="8586" w:type="dxa"/>
        <w:jc w:val="start"/>
        <w:tblInd w:w="0" w:type="dxa"/>
        <w:tblLayout w:type="fixed"/>
        <w:tblCellMar>
          <w:top w:w="0" w:type="dxa"/>
          <w:start w:w="108" w:type="dxa"/>
          <w:bottom w:w="0" w:type="dxa"/>
          <w:end w:w="108" w:type="dxa"/>
        </w:tblCellMar>
      </w:tblPr>
      <w:tblGrid>
        <w:gridCol w:w="3798"/>
        <w:gridCol w:w="4788"/>
      </w:tblGrid>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Fixed Rate Payer and Floating Rate Payer 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Notional Amount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bl>
    <w:p>
      <w:pPr>
        <w:pStyle w:val="Normal"/>
        <w:widowControl/>
        <w:rPr>
          <w:sz w:val="20"/>
        </w:rPr>
      </w:pPr>
      <w:r>
        <w:rPr>
          <w:sz w:val="20"/>
        </w:rPr>
        <w:t>*Subject to adjustment in accordance with Modified Following Business Day Convention</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/mnt/main-storage/datasets/enron-docs/doc/ECCRBCrate-0be13afa61c5b6439c85afd9c82d62436296a398ade6c1725e474e2fe6b10d1f.doc</w:t>
    </w:r>
    <w:r>
      <w:rPr>
        <w:sz w:val="16"/>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M275489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BodyText2">
    <w:name w:val="Body Text 2"/>
    <w:basedOn w:val="Normal"/>
    <w:qFormat/>
    <w:pPr>
      <w:widowControl/>
      <w:tabs>
        <w:tab w:val="clear" w:pos="720"/>
        <w:tab w:val="left" w:pos="342" w:leader="none"/>
      </w:tabs>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2000-09-19T10:49:00Z</dcterms:created>
  <dc:creator>ECT</dc:creator>
  <dc:description/>
  <dc:language>en-CA</dc:language>
  <cp:lastModifiedBy>kellis</cp:lastModifiedBy>
  <cp:lastPrinted>2000-09-27T17:56:00Z</cp:lastPrinted>
  <dcterms:modified xsi:type="dcterms:W3CDTF">2000-09-27T20:26:00Z</dcterms:modified>
  <cp:revision>23</cp:revision>
  <dc:subject/>
  <dc:title> 1400 Smith  Houston, TX 77002 (713) 853-3300 Fax (713) 646-4816</dc:title>
</cp:coreProperties>
</file>