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Toronto Dominion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Canada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September [  ],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28,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Pricing Date for the applicable Calculation Period</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Amount:</w:t>
            </w:r>
          </w:p>
          <w:p>
            <w:pPr>
              <w:pStyle w:val="Normal"/>
              <w:ind w:firstLine="720" w:end="0"/>
              <w:rPr>
                <w:sz w:val="22"/>
              </w:rPr>
            </w:pPr>
            <w:r>
              <w:rPr>
                <w:sz w:val="22"/>
              </w:rPr>
              <w:t>Fixed Amount Payment Date:</w:t>
            </w:r>
          </w:p>
          <w:p>
            <w:pPr>
              <w:pStyle w:val="Normal"/>
              <w:rPr>
                <w:sz w:val="22"/>
              </w:rPr>
            </w:pPr>
            <w:r>
              <w:rPr>
                <w:sz w:val="22"/>
              </w:rPr>
            </w:r>
          </w:p>
        </w:tc>
        <w:tc>
          <w:tcPr>
            <w:tcW w:w="6102" w:type="dxa"/>
            <w:tcBorders/>
          </w:tcPr>
          <w:p>
            <w:pPr>
              <w:pStyle w:val="Normal"/>
              <w:jc w:val="both"/>
              <w:rPr>
                <w:sz w:val="22"/>
              </w:rPr>
            </w:pPr>
            <w:r>
              <w:rPr>
                <w:sz w:val="22"/>
              </w:rPr>
              <w:t>C$[147,400,000]</w:t>
            </w:r>
          </w:p>
          <w:p>
            <w:pPr>
              <w:pStyle w:val="Normal"/>
              <w:jc w:val="both"/>
              <w:rPr>
                <w:sz w:val="22"/>
              </w:rPr>
            </w:pPr>
            <w:r>
              <w:rPr>
                <w:sz w:val="22"/>
              </w:rPr>
              <w:t>September 29, 2000</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r>
          </w:p>
          <w:p>
            <w:pPr>
              <w:pStyle w:val="Normal"/>
              <w:ind w:firstLine="720" w:end="0"/>
              <w:rPr>
                <w:sz w:val="22"/>
              </w:rPr>
            </w:pPr>
            <w:r>
              <w:rPr>
                <w:sz w:val="22"/>
              </w:rPr>
              <w:t>Floating Price Payer Payment Date:</w:t>
            </w:r>
          </w:p>
        </w:tc>
        <w:tc>
          <w:tcPr>
            <w:tcW w:w="6102" w:type="dxa"/>
            <w:tcBorders/>
          </w:tcPr>
          <w:p>
            <w:pPr>
              <w:pStyle w:val="Normal"/>
              <w:jc w:val="both"/>
              <w:rPr>
                <w:sz w:val="22"/>
              </w:rPr>
            </w:pPr>
            <w:r>
              <w:rPr>
                <w:sz w:val="22"/>
              </w:rPr>
              <w:t>[(The settlement price on the Pricing Date for the March, 2002 NYMEX Henry Hub Natural Gas Futures Contract for the applicable Calculation Period, as set forth on Exhibit I attached hereto [plus AECO basis]) multipled by the FX Rate and the MMbtu conversion rate]</w:t>
            </w:r>
          </w:p>
          <w:p>
            <w:pPr>
              <w:pStyle w:val="Normal"/>
              <w:jc w:val="both"/>
              <w:rPr>
                <w:sz w:val="22"/>
              </w:rPr>
            </w:pPr>
            <w:r>
              <w:rPr>
                <w:sz w:val="22"/>
              </w:rPr>
            </w:r>
          </w:p>
          <w:p>
            <w:pPr>
              <w:pStyle w:val="Normal"/>
              <w:jc w:val="both"/>
              <w:rPr/>
            </w:pPr>
            <w:r>
              <w:rPr>
                <w:sz w:val="22"/>
              </w:rPr>
              <w:t>The fifth (5</w:t>
            </w:r>
            <w:r>
              <w:rPr>
                <w:sz w:val="22"/>
                <w:vertAlign w:val="superscript"/>
              </w:rPr>
              <w:t>th</w:t>
            </w:r>
            <w:r>
              <w:rPr>
                <w:sz w:val="22"/>
              </w:rPr>
              <w:t>) Business Day succeeding the Pricing Date for the applicable Calculation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Optional Termination:  Either party may, upon [two (2)] days written notice to the other party, terminate this Transaction by designating to such other party the termination date for this Transaction.  In the event a party exercises its right of optional termination hereunder, the provisions of Section 6(e)(i)(3) shall apply for purposes of calculating the Settlement Amount and will be payable as provided in Section 6(e)(i)(3) assuming that the party electing to terminate is the Defaulting Party.</w:t>
            </w:r>
          </w:p>
          <w:p>
            <w:pPr>
              <w:pStyle w:val="BodyTextIndent"/>
              <w:tabs>
                <w:tab w:val="clear" w:pos="342"/>
              </w:tabs>
              <w:ind w:hanging="0" w:start="-18" w:end="0"/>
              <w:rPr/>
            </w:pPr>
            <w:r>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the Pricing Date (the 'FX Rate Calculation Date'), provided, however, that if the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Montreal</w:t>
            </w:r>
          </w:p>
          <w:p>
            <w:pPr>
              <w:pStyle w:val="Normal"/>
              <w:jc w:val="both"/>
              <w:rPr>
                <w:sz w:val="22"/>
              </w:rPr>
            </w:pPr>
            <w:r>
              <w:rPr>
                <w:sz w:val="22"/>
              </w:rPr>
              <w:t>BOFMCAM2</w:t>
            </w:r>
          </w:p>
          <w:p>
            <w:pPr>
              <w:pStyle w:val="Normal"/>
              <w:jc w:val="both"/>
              <w:rPr>
                <w:sz w:val="22"/>
              </w:rPr>
            </w:pPr>
            <w:r>
              <w:rPr>
                <w:sz w:val="22"/>
              </w:rPr>
              <w:t>City Bank Canada</w:t>
            </w:r>
          </w:p>
          <w:p>
            <w:pPr>
              <w:pStyle w:val="Normal"/>
              <w:jc w:val="both"/>
              <w:rPr>
                <w:sz w:val="22"/>
              </w:rPr>
            </w:pPr>
            <w:r>
              <w:rPr>
                <w:sz w:val="22"/>
              </w:rPr>
              <w:t>Acct. No. 1017-221</w:t>
            </w:r>
          </w:p>
          <w:p>
            <w:pPr>
              <w:pStyle w:val="BodyText2"/>
              <w:tabs>
                <w:tab w:val="clear" w:pos="342"/>
              </w:tabs>
              <w:rPr/>
            </w:pPr>
            <w:r>
              <w:rPr/>
              <w:t>For credit of Enron Canada Corp.</w:t>
            </w:r>
          </w:p>
          <w:p>
            <w:pPr>
              <w:pStyle w:val="BodyText2"/>
              <w:rPr/>
            </w:pPr>
            <w:r>
              <w:rPr/>
              <w:t>Acct. No.  2013578009</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Canada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Toronto Dominion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b/>
        </w:rPr>
      </w:pPr>
      <w:r>
        <w:rPr>
          <w:b/>
        </w:rPr>
        <w:tab/>
        <w:tab/>
      </w:r>
    </w:p>
    <w:tbl>
      <w:tblPr>
        <w:tblW w:w="9360" w:type="dxa"/>
        <w:jc w:val="start"/>
        <w:tblInd w:w="378" w:type="dxa"/>
        <w:tblLayout w:type="fixed"/>
        <w:tblCellMar>
          <w:top w:w="0" w:type="dxa"/>
          <w:start w:w="108" w:type="dxa"/>
          <w:bottom w:w="0" w:type="dxa"/>
          <w:end w:w="108" w:type="dxa"/>
        </w:tblCellMar>
      </w:tblPr>
      <w:tblGrid>
        <w:gridCol w:w="4140"/>
        <w:gridCol w:w="2610"/>
        <w:gridCol w:w="2610"/>
      </w:tblGrid>
      <w:tr>
        <w:trPr/>
        <w:tc>
          <w:tcPr>
            <w:tcW w:w="4140" w:type="dxa"/>
            <w:tcBorders/>
          </w:tcPr>
          <w:p>
            <w:pPr>
              <w:pStyle w:val="BodyText"/>
              <w:snapToGrid w:val="false"/>
              <w:ind w:start="162" w:end="0"/>
              <w:rPr>
                <w:b/>
              </w:rPr>
            </w:pPr>
            <w:r>
              <w:rPr>
                <w:b/>
              </w:rPr>
            </w:r>
          </w:p>
          <w:p>
            <w:pPr>
              <w:pStyle w:val="BodyText"/>
              <w:ind w:start="162" w:end="0"/>
              <w:rPr>
                <w:b/>
              </w:rPr>
            </w:pPr>
            <w:r>
              <w:rPr>
                <w:b/>
              </w:rPr>
              <w:t>Calculation</w:t>
            </w:r>
          </w:p>
          <w:p>
            <w:pPr>
              <w:pStyle w:val="BodyText"/>
              <w:ind w:start="162" w:end="0"/>
              <w:rPr>
                <w:b/>
              </w:rPr>
            </w:pPr>
            <w:r>
              <w:rPr>
                <w:b/>
              </w:rPr>
              <w:t xml:space="preserve">    </w:t>
            </w:r>
            <w:r>
              <w:rPr>
                <w:b/>
              </w:rPr>
              <w:t>Period</w:t>
            </w:r>
          </w:p>
        </w:tc>
        <w:tc>
          <w:tcPr>
            <w:tcW w:w="2610" w:type="dxa"/>
            <w:tcBorders/>
          </w:tcPr>
          <w:p>
            <w:pPr>
              <w:pStyle w:val="BodyText"/>
              <w:snapToGrid w:val="false"/>
              <w:jc w:val="center"/>
              <w:rPr>
                <w:b/>
              </w:rPr>
            </w:pPr>
            <w:r>
              <w:rPr>
                <w:b/>
              </w:rPr>
            </w:r>
          </w:p>
          <w:p>
            <w:pPr>
              <w:pStyle w:val="BodyText"/>
              <w:jc w:val="center"/>
              <w:rPr>
                <w:b/>
              </w:rPr>
            </w:pPr>
            <w:r>
              <w:rPr>
                <w:b/>
              </w:rPr>
              <w:t>Pricing</w:t>
            </w:r>
          </w:p>
          <w:p>
            <w:pPr>
              <w:pStyle w:val="BodyText"/>
              <w:jc w:val="center"/>
              <w:rPr>
                <w:b/>
              </w:rPr>
            </w:pPr>
            <w:r>
              <w:rPr>
                <w:b/>
              </w:rPr>
              <w:t>Date</w:t>
            </w:r>
          </w:p>
        </w:tc>
        <w:tc>
          <w:tcPr>
            <w:tcW w:w="2610" w:type="dxa"/>
            <w:tcBorders/>
          </w:tcPr>
          <w:p>
            <w:pPr>
              <w:pStyle w:val="BodyText"/>
              <w:ind w:start="162" w:end="0"/>
              <w:rPr>
                <w:b/>
              </w:rPr>
            </w:pPr>
            <w:r>
              <w:rPr>
                <w:b/>
              </w:rPr>
              <w:t>Notional Quantity</w:t>
            </w:r>
          </w:p>
          <w:p>
            <w:pPr>
              <w:pStyle w:val="BodyText"/>
              <w:ind w:start="162" w:end="0"/>
              <w:rPr>
                <w:b/>
              </w:rPr>
            </w:pPr>
            <w:r>
              <w:rPr>
                <w:b/>
              </w:rPr>
              <w:t xml:space="preserve">  </w:t>
            </w:r>
            <w:r>
              <w:rPr>
                <w:b/>
              </w:rPr>
              <w:t>per Calculation</w:t>
            </w:r>
          </w:p>
          <w:p>
            <w:pPr>
              <w:pStyle w:val="BodyText"/>
              <w:ind w:start="162" w:end="0"/>
              <w:rPr>
                <w:b/>
              </w:rPr>
            </w:pPr>
            <w:r>
              <w:rPr>
                <w:b/>
              </w:rPr>
              <w:t xml:space="preserve">     </w:t>
            </w:r>
            <w:r>
              <w:rPr>
                <w:b/>
              </w:rPr>
              <w:t>Period (GJ)</w:t>
            </w:r>
          </w:p>
        </w:tc>
      </w:tr>
      <w:tr>
        <w:trPr/>
        <w:tc>
          <w:tcPr>
            <w:tcW w:w="4140" w:type="dxa"/>
            <w:tcBorders/>
          </w:tcPr>
          <w:p>
            <w:pPr>
              <w:pStyle w:val="BodyText"/>
              <w:rPr>
                <w:b/>
              </w:rPr>
            </w:pPr>
            <w:r>
              <w:rPr>
                <w:b/>
              </w:rPr>
              <w:t>------------------</w:t>
            </w:r>
          </w:p>
        </w:tc>
        <w:tc>
          <w:tcPr>
            <w:tcW w:w="2610" w:type="dxa"/>
            <w:tcBorders/>
          </w:tcPr>
          <w:p>
            <w:pPr>
              <w:pStyle w:val="BodyText"/>
              <w:jc w:val="center"/>
              <w:rPr>
                <w:b/>
              </w:rPr>
            </w:pPr>
            <w:r>
              <w:rPr>
                <w:b/>
              </w:rPr>
              <w:t>-----------------</w:t>
            </w:r>
          </w:p>
        </w:tc>
        <w:tc>
          <w:tcPr>
            <w:tcW w:w="2610" w:type="dxa"/>
            <w:tcBorders/>
          </w:tcPr>
          <w:p>
            <w:pPr>
              <w:pStyle w:val="BodyText"/>
              <w:rPr>
                <w:b/>
              </w:rPr>
            </w:pPr>
            <w:r>
              <w:rPr>
                <w:b/>
              </w:rPr>
              <w:t xml:space="preserve">  </w:t>
            </w:r>
            <w:r>
              <w:rPr>
                <w:b/>
              </w:rPr>
              <w:t>------------------------</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rPr>
                <w:b/>
              </w:rPr>
            </w:pPr>
            <w:r>
              <w:rPr>
                <w:b/>
              </w:rPr>
            </w:r>
          </w:p>
        </w:tc>
      </w:tr>
      <w:tr>
        <w:trPr/>
        <w:tc>
          <w:tcPr>
            <w:tcW w:w="4140" w:type="dxa"/>
            <w:tcBorders/>
          </w:tcPr>
          <w:p>
            <w:pPr>
              <w:pStyle w:val="BodyText"/>
              <w:rPr>
                <w:b/>
              </w:rPr>
            </w:pPr>
            <w:r>
              <w:rPr>
                <w:b/>
              </w:rPr>
              <w:t>September 29, 2000 – December 29, 2000</w:t>
            </w:r>
          </w:p>
        </w:tc>
        <w:tc>
          <w:tcPr>
            <w:tcW w:w="2610" w:type="dxa"/>
            <w:tcBorders/>
          </w:tcPr>
          <w:p>
            <w:pPr>
              <w:pStyle w:val="BodyText"/>
              <w:ind w:start="162" w:end="0"/>
              <w:rPr>
                <w:b/>
              </w:rPr>
            </w:pPr>
            <w:r>
              <w:rPr>
                <w:b/>
              </w:rPr>
              <w:t>December 29, 2000</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December 30, 2000 – March 29, 2001</w:t>
            </w:r>
          </w:p>
        </w:tc>
        <w:tc>
          <w:tcPr>
            <w:tcW w:w="2610" w:type="dxa"/>
            <w:tcBorders/>
          </w:tcPr>
          <w:p>
            <w:pPr>
              <w:pStyle w:val="BodyText"/>
              <w:ind w:start="162" w:end="0"/>
              <w:rPr>
                <w:b/>
              </w:rPr>
            </w:pPr>
            <w:r>
              <w:rPr>
                <w:b/>
              </w:rPr>
              <w:t>March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ind w:start="72" w:end="0"/>
              <w:rPr>
                <w:b/>
              </w:rPr>
            </w:pPr>
            <w:r>
              <w:rPr>
                <w:b/>
              </w:rPr>
              <w:t>[                              ]</w:t>
            </w:r>
          </w:p>
        </w:tc>
      </w:tr>
      <w:tr>
        <w:trPr/>
        <w:tc>
          <w:tcPr>
            <w:tcW w:w="4140" w:type="dxa"/>
            <w:tcBorders/>
          </w:tcPr>
          <w:p>
            <w:pPr>
              <w:pStyle w:val="BodyText"/>
              <w:rPr>
                <w:b/>
              </w:rPr>
            </w:pPr>
            <w:r>
              <w:rPr>
                <w:b/>
              </w:rPr>
              <w:t>March 30, 2001 – June 29, 2001</w:t>
            </w:r>
          </w:p>
        </w:tc>
        <w:tc>
          <w:tcPr>
            <w:tcW w:w="2610" w:type="dxa"/>
            <w:tcBorders/>
          </w:tcPr>
          <w:p>
            <w:pPr>
              <w:pStyle w:val="BodyText"/>
              <w:ind w:start="162" w:end="0"/>
              <w:rPr>
                <w:b/>
              </w:rPr>
            </w:pPr>
            <w:r>
              <w:rPr>
                <w:b/>
              </w:rPr>
              <w:t>June 29,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rPr>
                <w:b/>
              </w:rPr>
            </w:pPr>
            <w:r>
              <w:rPr>
                <w:b/>
              </w:rPr>
              <w:t>June 30, 2001 – September 27, 2001</w:t>
            </w:r>
          </w:p>
        </w:tc>
        <w:tc>
          <w:tcPr>
            <w:tcW w:w="2610" w:type="dxa"/>
            <w:tcBorders/>
          </w:tcPr>
          <w:p>
            <w:pPr>
              <w:pStyle w:val="BodyText"/>
              <w:ind w:start="162" w:end="0"/>
              <w:rPr>
                <w:b/>
              </w:rPr>
            </w:pPr>
            <w:r>
              <w:rPr>
                <w:b/>
              </w:rPr>
              <w:t>September 27, 2001</w:t>
            </w:r>
          </w:p>
        </w:tc>
        <w:tc>
          <w:tcPr>
            <w:tcW w:w="2610" w:type="dxa"/>
            <w:tcBorders/>
          </w:tcPr>
          <w:p>
            <w:pPr>
              <w:pStyle w:val="BodyText"/>
              <w:ind w:start="72" w:end="0"/>
              <w:rPr>
                <w:b/>
              </w:rPr>
            </w:pPr>
            <w:r>
              <w:rPr>
                <w:b/>
              </w:rPr>
              <w:t>[                              ]</w:t>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r>
        <w:trPr/>
        <w:tc>
          <w:tcPr>
            <w:tcW w:w="4140" w:type="dxa"/>
            <w:tcBorders/>
          </w:tcPr>
          <w:p>
            <w:pPr>
              <w:pStyle w:val="BodyText"/>
              <w:snapToGrid w:val="false"/>
              <w:rPr>
                <w:b/>
              </w:rPr>
            </w:pPr>
            <w:r>
              <w:rPr>
                <w:b/>
              </w:rPr>
            </w:r>
          </w:p>
        </w:tc>
        <w:tc>
          <w:tcPr>
            <w:tcW w:w="2610" w:type="dxa"/>
            <w:tcBorders/>
          </w:tcPr>
          <w:p>
            <w:pPr>
              <w:pStyle w:val="BodyText"/>
              <w:snapToGrid w:val="false"/>
              <w:ind w:start="162" w:end="0"/>
              <w:rPr>
                <w:b/>
              </w:rPr>
            </w:pPr>
            <w:r>
              <w:rPr>
                <w:b/>
              </w:rPr>
            </w:r>
          </w:p>
        </w:tc>
        <w:tc>
          <w:tcPr>
            <w:tcW w:w="2610" w:type="dxa"/>
            <w:tcBorders/>
          </w:tcPr>
          <w:p>
            <w:pPr>
              <w:pStyle w:val="BodyText"/>
              <w:snapToGrid w:val="false"/>
              <w:ind w:start="72" w:end="0"/>
              <w:rPr>
                <w:b/>
              </w:rPr>
            </w:pPr>
            <w:r>
              <w:rPr>
                <w:b/>
              </w:rPr>
            </w:r>
          </w:p>
        </w:tc>
      </w:tr>
    </w:tbl>
    <w:p>
      <w:pPr>
        <w:pStyle w:val="BodyText"/>
        <w:rPr>
          <w:b/>
        </w:rPr>
      </w:pPr>
      <w:r>
        <w:rPr>
          <w:b/>
        </w:rPr>
      </w:r>
    </w:p>
    <w:p>
      <w:pPr>
        <w:pStyle w:val="BodyText"/>
        <w:rPr>
          <w:b/>
        </w:rPr>
      </w:pPr>
      <w:r>
        <w:rPr>
          <w:b/>
        </w:rPr>
        <w:tab/>
        <w:tab/>
      </w:r>
    </w:p>
    <w:p>
      <w:pPr>
        <w:pStyle w:val="BodyText"/>
        <w:rPr>
          <w:b/>
        </w:rPr>
      </w:pPr>
      <w:r>
        <w:rPr>
          <w:b/>
        </w:rPr>
      </w:r>
    </w:p>
    <w:p>
      <w:pPr>
        <w:pStyle w:val="BodyText"/>
        <w:rPr>
          <w:b/>
        </w:rPr>
      </w:pPr>
      <w:r>
        <w:rPr>
          <w:b/>
        </w:rPr>
      </w:r>
    </w:p>
    <w:p>
      <w:pPr>
        <w:pStyle w:val="Normal"/>
        <w:rPr>
          <w:b/>
          <w:sz w:val="22"/>
        </w:rPr>
      </w:pPr>
      <w:r>
        <w:rPr>
          <w:b/>
          <w:sz w:val="22"/>
        </w:rPr>
        <w:tab/>
        <w:tab/>
        <w:t>End Of Attachment</w:t>
      </w:r>
    </w:p>
    <w:p>
      <w:pPr>
        <w:pStyle w:val="BodyText"/>
        <w:rPr>
          <w:b/>
          <w:sz w:val="22"/>
        </w:rPr>
      </w:pPr>
      <w:r>
        <w:rPr>
          <w:b/>
          <w:sz w:val="22"/>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/mnt/main-storage/datasets/enron-docs/doc/ECCRBCnymex2.doc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/mnt/main-storage/datasets/enron-docs/doc/ECCRBCnymex2.doc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/mnt/main-storage/datasets/enron-docs/doc/ECCRBCnymex2.doc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2000-09-27T17:36:00Z</dcterms:created>
  <dc:creator>ECT</dc:creator>
  <dc:description/>
  <dc:language>en-CA</dc:language>
  <cp:lastModifiedBy>kellis</cp:lastModifiedBy>
  <cp:lastPrinted>2000-09-27T18:30:00Z</cp:lastPrinted>
  <dcterms:modified xsi:type="dcterms:W3CDTF">2000-09-27T21:00:00Z</dcterms:modified>
  <cp:revision>9</cp:revision>
  <dc:subject>Williams Energy Marketing &amp; Trading Company</dc:subject>
  <dc:title>NZ2978.1</dc:title>
</cp:coreProperties>
</file>