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22,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9/22/00]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360" w:end="0"/>
              <w:rPr>
                <w:sz w:val="22"/>
              </w:rPr>
            </w:pPr>
            <w:r>
              <w:rPr>
                <w:sz w:val="22"/>
              </w:rPr>
              <w:t>Calculation Agent:</w:t>
            </w:r>
          </w:p>
        </w:tc>
        <w:tc>
          <w:tcPr>
            <w:tcW w:w="6102" w:type="dxa"/>
            <w:tcBorders/>
          </w:tcPr>
          <w:p>
            <w:pPr>
              <w:pStyle w:val="Normal"/>
              <w:jc w:val="both"/>
              <w:rPr>
                <w:sz w:val="22"/>
              </w:rPr>
            </w:pPr>
            <w:r>
              <w:rPr>
                <w:sz w:val="22"/>
              </w:rPr>
              <w:t>ECC</w:t>
            </w:r>
          </w:p>
        </w:tc>
      </w:tr>
      <w:tr>
        <w:trPr/>
        <w:tc>
          <w:tcPr>
            <w:tcW w:w="4338" w:type="dxa"/>
            <w:tcBorders/>
          </w:tcPr>
          <w:p>
            <w:pPr>
              <w:pStyle w:val="Normal"/>
              <w:snapToGrid w:val="false"/>
              <w:ind w:firstLine="36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360" w:end="0"/>
              <w:rPr>
                <w:color w:val="FF0000"/>
                <w:sz w:val="22"/>
              </w:rPr>
            </w:pPr>
            <w:r>
              <w:rPr>
                <w:color w:val="FF0000"/>
                <w:sz w:val="22"/>
              </w:rPr>
              <w:t>Other Provisions:</w:t>
            </w:r>
          </w:p>
        </w:tc>
        <w:tc>
          <w:tcPr>
            <w:tcW w:w="6102" w:type="dxa"/>
            <w:tcBorders/>
          </w:tcPr>
          <w:p>
            <w:pPr>
              <w:pStyle w:val="Normal"/>
              <w:jc w:val="both"/>
              <w:rPr>
                <w:color w:val="FF0000"/>
                <w:sz w:val="22"/>
              </w:rPr>
            </w:pPr>
            <w:r>
              <w:rPr>
                <w:color w:val="FF0000"/>
                <w:sz w:val="22"/>
                <w:lang w:eastAsia="en-US"/>
              </w:rPr>
              <w:t>For purposes of Paragraph 13 to the ISDA Credit Support Annex, the term "Valuation Date" shall mean any Friday during the Term of this Transaction or the Modified Following Business Day if such day is not a Business Day.</w:t>
            </w:r>
          </w:p>
        </w:tc>
      </w:tr>
      <w:tr>
        <w:trPr/>
        <w:tc>
          <w:tcPr>
            <w:tcW w:w="10440" w:type="dxa"/>
            <w:gridSpan w:val="2"/>
            <w:tcBorders/>
          </w:tcPr>
          <w:p>
            <w:pPr>
              <w:pStyle w:val="Normal"/>
              <w:snapToGrid w:val="false"/>
              <w:ind w:firstLine="720" w:end="0"/>
              <w:jc w:val="both"/>
              <w:rPr>
                <w:color w:val="FF0000"/>
                <w:sz w:val="22"/>
              </w:rPr>
            </w:pPr>
            <w:r>
              <w:rPr>
                <w:color w:val="FF0000"/>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5"/>
      <w:headerReference w:type="first" r:id="rId6"/>
      <w:footerReference w:type="default" r:id="rId7"/>
      <w:footerReference w:type="first" r:id="rId8"/>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2000-09-19T12:43:00Z</dcterms:created>
  <dc:creator>ECT</dc:creator>
  <dc:description/>
  <dc:language>en-CA</dc:language>
  <cp:lastModifiedBy>jhunte2</cp:lastModifiedBy>
  <cp:lastPrinted>2000-09-19T09:28:00Z</cp:lastPrinted>
  <dcterms:modified xsi:type="dcterms:W3CDTF">2000-09-19T15:15:00Z</dcterms:modified>
  <cp:revision>8</cp:revision>
  <dc:subject>Williams Energy Marketing &amp; Trading Company</dc:subject>
  <dc:title>NZ2978.1</dc:title>
</cp:coreProperties>
</file>