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  ], 2000</w:t>
      </w:r>
      <w:r>
        <w:rPr>
          <w:sz w:val="22"/>
        </w:rPr>
        <w:fldChar w:fldCharType="end"/>
      </w:r>
    </w:p>
    <w:p>
      <w:pPr>
        <w:pStyle w:val="Normal"/>
        <w:rPr>
          <w:sz w:val="22"/>
        </w:rPr>
      </w:pPr>
      <w:r>
        <w:rPr>
          <w:sz w:val="22"/>
        </w:rPr>
        <w:t>To:</w:t>
        <w:tab/>
        <w:tab/>
        <w:t>Bow Valley Trust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September [  ],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  ],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pPr>
            <w:r>
              <w:rPr>
                <w:sz w:val="22"/>
              </w:rPr>
              <w:fldChar w:fldCharType="begin"/>
            </w:r>
            <w:r>
              <w:rPr>
                <w:sz w:val="22"/>
              </w:rPr>
              <w:instrText xml:space="preserve"> MERGEFIELD TransStartDate </w:instrText>
            </w:r>
            <w:r>
              <w:rPr>
                <w:sz w:val="22"/>
              </w:rPr>
              <w:fldChar w:fldCharType="separate"/>
            </w:r>
            <w:r>
              <w:rPr>
                <w:sz w:val="22"/>
              </w:rPr>
              <w:t>[October 01, 2000</w:t>
            </w:r>
            <w:r>
              <w:rPr>
                <w:sz w:val="22"/>
              </w:rPr>
              <w:fldChar w:fldCharType="end"/>
            </w:r>
            <w:r>
              <w:rPr>
                <w:sz w:val="22"/>
              </w:rPr>
              <w:t>]</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[October 01, 2000] and ending on [                   ].</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rPr>
                <w:sz w:val="22"/>
              </w:rPr>
            </w:pPr>
            <w:r>
              <w:rPr>
                <w:sz w:val="22"/>
              </w:rPr>
            </w:r>
          </w:p>
        </w:tc>
        <w:tc>
          <w:tcPr>
            <w:tcW w:w="6102" w:type="dxa"/>
            <w:tcBorders/>
          </w:tcPr>
          <w:p>
            <w:pPr>
              <w:pStyle w:val="Normal"/>
              <w:snapToGrid w:val="false"/>
              <w:ind w:start="-18" w:end="0"/>
              <w:jc w:val="both"/>
              <w:rPr>
                <w:sz w:val="22"/>
              </w:rPr>
            </w:pPr>
            <w:r>
              <w:rPr>
                <w:sz w:val="22"/>
              </w:rPr>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w:t>
            </w:r>
          </w:p>
          <w:p>
            <w:pPr>
              <w:pStyle w:val="Normal"/>
              <w:ind w:firstLine="720" w:end="0"/>
              <w:rPr>
                <w:sz w:val="22"/>
              </w:rPr>
            </w:pPr>
            <w:r>
              <w:rPr>
                <w:sz w:val="22"/>
              </w:rPr>
            </w:r>
          </w:p>
          <w:p>
            <w:pPr>
              <w:pStyle w:val="Normal"/>
              <w:ind w:firstLine="720" w:end="0"/>
              <w:rPr>
                <w:sz w:val="22"/>
              </w:rPr>
            </w:pPr>
            <w:r>
              <w:rPr>
                <w:sz w:val="22"/>
              </w:rPr>
              <w:t>Fixed Amount Payment Date:</w:t>
            </w:r>
          </w:p>
        </w:tc>
        <w:tc>
          <w:tcPr>
            <w:tcW w:w="6102" w:type="dxa"/>
            <w:tcBorders/>
          </w:tcPr>
          <w:p>
            <w:pPr>
              <w:pStyle w:val="Normal"/>
              <w:jc w:val="both"/>
              <w:rPr>
                <w:sz w:val="22"/>
              </w:rPr>
            </w:pPr>
            <w:r>
              <w:rPr>
                <w:sz w:val="22"/>
              </w:rPr>
              <w:t>C$300,000,000</w:t>
            </w:r>
          </w:p>
          <w:p>
            <w:pPr>
              <w:pStyle w:val="Normal"/>
              <w:jc w:val="both"/>
              <w:rPr>
                <w:sz w:val="22"/>
              </w:rPr>
            </w:pPr>
            <w:r>
              <w:rPr>
                <w:sz w:val="22"/>
              </w:rPr>
            </w:r>
          </w:p>
          <w:p>
            <w:pPr>
              <w:pStyle w:val="Normal"/>
              <w:jc w:val="both"/>
              <w:rPr>
                <w:sz w:val="22"/>
              </w:rPr>
            </w:pPr>
            <w:r>
              <w:rPr>
                <w:sz w:val="22"/>
              </w:rPr>
              <w:t>[The Effective Date]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r>
              <w:rPr>
                <w:sz w:val="22"/>
              </w:rPr>
              <w:t xml:space="preserve"> </w:t>
            </w:r>
            <w:r>
              <w:rPr>
                <w:sz w:val="22"/>
              </w:rPr>
              <w:t>(the “Floating Rate Payer”)</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Party A First Floating Amount:</w:t>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t xml:space="preserve">Party A First Floating Amount </w:t>
            </w:r>
          </w:p>
          <w:p>
            <w:pPr>
              <w:pStyle w:val="Normal"/>
              <w:ind w:firstLine="720" w:end="0"/>
              <w:rPr>
                <w:sz w:val="22"/>
              </w:rPr>
            </w:pPr>
            <w:r>
              <w:rPr>
                <w:sz w:val="22"/>
              </w:rPr>
              <w:t xml:space="preserve">  </w:t>
            </w:r>
            <w:r>
              <w:rPr>
                <w:sz w:val="22"/>
              </w:rPr>
              <w:t>Payment Date:</w:t>
            </w:r>
          </w:p>
          <w:p>
            <w:pPr>
              <w:pStyle w:val="Normal"/>
              <w:ind w:firstLine="720" w:end="0"/>
              <w:rPr>
                <w:sz w:val="22"/>
              </w:rPr>
            </w:pPr>
            <w:r>
              <w:rPr>
                <w:sz w:val="22"/>
              </w:rPr>
            </w:r>
          </w:p>
          <w:p>
            <w:pPr>
              <w:pStyle w:val="Normal"/>
              <w:ind w:firstLine="720" w:end="0"/>
              <w:rPr>
                <w:sz w:val="22"/>
              </w:rPr>
            </w:pPr>
            <w:r>
              <w:rPr>
                <w:sz w:val="22"/>
              </w:rPr>
              <w:t>Party A Second Floating Amount:</w:t>
            </w:r>
          </w:p>
          <w:p>
            <w:pPr>
              <w:pStyle w:val="Normal"/>
              <w:ind w:firstLine="720" w:end="0"/>
              <w:rPr>
                <w:sz w:val="22"/>
              </w:rPr>
            </w:pPr>
            <w:r>
              <w:rPr>
                <w:sz w:val="22"/>
              </w:rPr>
            </w:r>
          </w:p>
          <w:p>
            <w:pPr>
              <w:pStyle w:val="Normal"/>
              <w:ind w:firstLine="720" w:end="0"/>
              <w:rPr>
                <w:sz w:val="22"/>
              </w:rPr>
            </w:pPr>
            <w:r>
              <w:rPr>
                <w:sz w:val="22"/>
              </w:rPr>
              <w:t xml:space="preserve">  </w:t>
            </w:r>
            <w:r>
              <w:rPr>
                <w:sz w:val="22"/>
              </w:rPr>
              <w:t>Floating Rate Option:</w:t>
            </w:r>
          </w:p>
          <w:p>
            <w:pPr>
              <w:pStyle w:val="Normal"/>
              <w:ind w:firstLine="720" w:end="0"/>
              <w:rPr>
                <w:sz w:val="22"/>
              </w:rPr>
            </w:pPr>
            <w:r>
              <w:rPr>
                <w:sz w:val="22"/>
              </w:rPr>
            </w:r>
          </w:p>
          <w:p>
            <w:pPr>
              <w:pStyle w:val="Normal"/>
              <w:ind w:firstLine="720" w:end="0"/>
              <w:rPr>
                <w:sz w:val="22"/>
              </w:rPr>
            </w:pPr>
            <w:r>
              <w:rPr>
                <w:sz w:val="22"/>
              </w:rPr>
              <w:t xml:space="preserve">  </w:t>
            </w:r>
            <w:r>
              <w:rPr>
                <w:sz w:val="22"/>
              </w:rPr>
              <w:t>Designated Maturity:</w:t>
            </w:r>
          </w:p>
          <w:p>
            <w:pPr>
              <w:pStyle w:val="Normal"/>
              <w:ind w:firstLine="720" w:end="0"/>
              <w:rPr>
                <w:sz w:val="22"/>
              </w:rPr>
            </w:pPr>
            <w:r>
              <w:rPr>
                <w:sz w:val="22"/>
              </w:rPr>
            </w:r>
          </w:p>
          <w:p>
            <w:pPr>
              <w:pStyle w:val="Normal"/>
              <w:ind w:firstLine="720" w:end="0"/>
              <w:rPr>
                <w:sz w:val="22"/>
              </w:rPr>
            </w:pPr>
            <w:r>
              <w:rPr>
                <w:sz w:val="22"/>
              </w:rPr>
              <w:t xml:space="preserve">  </w:t>
            </w:r>
            <w:r>
              <w:rPr>
                <w:sz w:val="22"/>
              </w:rPr>
              <w:t>Floating Rate Day Count Fraction:</w:t>
            </w:r>
          </w:p>
          <w:p>
            <w:pPr>
              <w:pStyle w:val="Normal"/>
              <w:ind w:firstLine="720" w:end="0"/>
              <w:rPr>
                <w:sz w:val="22"/>
              </w:rPr>
            </w:pPr>
            <w:r>
              <w:rPr>
                <w:sz w:val="22"/>
              </w:rPr>
            </w:r>
          </w:p>
          <w:p>
            <w:pPr>
              <w:pStyle w:val="Normal"/>
              <w:ind w:firstLine="720" w:end="0"/>
              <w:rPr>
                <w:sz w:val="22"/>
              </w:rPr>
            </w:pPr>
            <w:r>
              <w:rPr>
                <w:sz w:val="22"/>
              </w:rPr>
              <w:t xml:space="preserve">  </w:t>
            </w:r>
            <w:r>
              <w:rPr>
                <w:sz w:val="22"/>
              </w:rPr>
              <w:t>Reset Date(s):</w:t>
            </w:r>
          </w:p>
          <w:p>
            <w:pPr>
              <w:pStyle w:val="Normal"/>
              <w:ind w:firstLine="720" w:end="0"/>
              <w:rPr>
                <w:sz w:val="22"/>
              </w:rPr>
            </w:pPr>
            <w:r>
              <w:rPr>
                <w:sz w:val="22"/>
              </w:rPr>
            </w:r>
          </w:p>
          <w:p>
            <w:pPr>
              <w:pStyle w:val="Normal"/>
              <w:ind w:firstLine="720" w:end="0"/>
              <w:rPr>
                <w:sz w:val="22"/>
              </w:rPr>
            </w:pPr>
            <w:r>
              <w:rPr>
                <w:sz w:val="22"/>
              </w:rPr>
              <w:t>Party A Second Floating Amount</w:t>
            </w:r>
          </w:p>
          <w:p>
            <w:pPr>
              <w:pStyle w:val="Normal"/>
              <w:rPr>
                <w:sz w:val="22"/>
              </w:rPr>
            </w:pPr>
            <w:r>
              <w:rPr>
                <w:sz w:val="22"/>
              </w:rPr>
              <w:t xml:space="preserve">               </w:t>
            </w:r>
            <w:r>
              <w:rPr>
                <w:sz w:val="22"/>
              </w:rPr>
              <w:t>Payment Date:</w:t>
            </w:r>
          </w:p>
          <w:p>
            <w:pPr>
              <w:pStyle w:val="Normal"/>
              <w:ind w:firstLine="720" w:end="0"/>
              <w:rPr>
                <w:sz w:val="22"/>
              </w:rPr>
            </w:pPr>
            <w:r>
              <w:rPr>
                <w:sz w:val="22"/>
              </w:rPr>
            </w:r>
          </w:p>
        </w:tc>
        <w:tc>
          <w:tcPr>
            <w:tcW w:w="6102" w:type="dxa"/>
            <w:tcBorders/>
          </w:tcPr>
          <w:p>
            <w:pPr>
              <w:pStyle w:val="Normal"/>
              <w:jc w:val="both"/>
              <w:rPr/>
            </w:pPr>
            <w:r>
              <w:rPr>
                <w:sz w:val="22"/>
              </w:rPr>
              <w:t>For the Calculation Periods set forth on Exhibit I attached hereto, Party A shall pay [                       ] [</w:t>
            </w:r>
            <w:r>
              <w:rPr>
                <w:sz w:val="22"/>
              </w:rPr>
              <w:fldChar w:fldCharType="begin"/>
            </w:r>
            <w:r>
              <w:rPr>
                <w:sz w:val="22"/>
              </w:rPr>
              <w:instrText xml:space="preserve"> MERGEFIELD FloatPrice </w:instrText>
            </w:r>
            <w:r>
              <w:rPr>
                <w:sz w:val="22"/>
              </w:rPr>
              <w:fldChar w:fldCharType="separate"/>
            </w:r>
            <w:r>
              <w:rPr>
                <w:sz w:val="22"/>
              </w:rPr>
              <w:t>The AECO “C” Monthly Index, where:  “AECO “C” Monthly Index means the price in US Dollars per MMBtu published in the table “Monthly Canadian and U.S. natural gas price summary” in the Canadian Gas Price Reporter in the row for “Alberta Spot Price-AECO C/NIT (7A)” for the applicable Calculation Period</w:t>
            </w:r>
            <w:r>
              <w:rPr>
                <w:sz w:val="22"/>
              </w:rPr>
              <w:fldChar w:fldCharType="end"/>
            </w:r>
            <w:r>
              <w:rPr>
                <w:sz w:val="22"/>
              </w:rPr>
              <w:t>]</w:t>
            </w:r>
          </w:p>
          <w:p>
            <w:pPr>
              <w:pStyle w:val="Normal"/>
              <w:jc w:val="both"/>
              <w:rPr>
                <w:sz w:val="22"/>
              </w:rPr>
            </w:pPr>
            <w:r>
              <w:rPr>
                <w:sz w:val="22"/>
              </w:rPr>
            </w:r>
          </w:p>
          <w:p>
            <w:pPr>
              <w:pStyle w:val="Normal"/>
              <w:jc w:val="both"/>
              <w:rPr>
                <w:sz w:val="22"/>
              </w:rPr>
            </w:pPr>
            <w:r>
              <w:rPr>
                <w:sz w:val="22"/>
              </w:rPr>
              <w:t>[the Termination Date]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w:t>
            </w:r>
          </w:p>
          <w:p>
            <w:pPr>
              <w:pStyle w:val="Normal"/>
              <w:jc w:val="both"/>
              <w:rPr>
                <w:sz w:val="22"/>
              </w:rPr>
            </w:pPr>
            <w:r>
              <w:rPr>
                <w:sz w:val="22"/>
              </w:rPr>
            </w:r>
          </w:p>
          <w:p>
            <w:pPr>
              <w:pStyle w:val="Normal"/>
              <w:jc w:val="both"/>
              <w:rPr>
                <w:sz w:val="22"/>
              </w:rPr>
            </w:pPr>
            <w:r>
              <w:rPr>
                <w:sz w:val="22"/>
              </w:rPr>
              <w:t>[                  ]</w:t>
            </w:r>
          </w:p>
          <w:p>
            <w:pPr>
              <w:pStyle w:val="Normal"/>
              <w:jc w:val="both"/>
              <w:rPr>
                <w:sz w:val="22"/>
              </w:rPr>
            </w:pPr>
            <w:r>
              <w:rPr>
                <w:sz w:val="22"/>
              </w:rPr>
            </w:r>
          </w:p>
          <w:p>
            <w:pPr>
              <w:pStyle w:val="Normal"/>
              <w:jc w:val="both"/>
              <w:rPr>
                <w:sz w:val="22"/>
              </w:rPr>
            </w:pPr>
            <w:r>
              <w:rPr>
                <w:sz w:val="22"/>
              </w:rPr>
              <w:t>[                  ]</w:t>
            </w:r>
          </w:p>
          <w:p>
            <w:pPr>
              <w:pStyle w:val="Normal"/>
              <w:jc w:val="both"/>
              <w:rPr>
                <w:sz w:val="22"/>
              </w:rPr>
            </w:pPr>
            <w:r>
              <w:rPr>
                <w:sz w:val="22"/>
              </w:rPr>
            </w:r>
          </w:p>
          <w:p>
            <w:pPr>
              <w:pStyle w:val="Normal"/>
              <w:jc w:val="both"/>
              <w:rPr>
                <w:sz w:val="22"/>
              </w:rPr>
            </w:pPr>
            <w:r>
              <w:rPr>
                <w:sz w:val="22"/>
              </w:rPr>
              <w:t>[                  ]</w:t>
            </w:r>
          </w:p>
          <w:p>
            <w:pPr>
              <w:pStyle w:val="Normal"/>
              <w:jc w:val="both"/>
              <w:rPr>
                <w:sz w:val="22"/>
              </w:rPr>
            </w:pPr>
            <w:r>
              <w:rPr>
                <w:sz w:val="22"/>
              </w:rPr>
            </w:r>
          </w:p>
          <w:p>
            <w:pPr>
              <w:pStyle w:val="Normal"/>
              <w:jc w:val="both"/>
              <w:rPr>
                <w:sz w:val="22"/>
              </w:rPr>
            </w:pPr>
            <w:r>
              <w:rPr>
                <w:sz w:val="22"/>
              </w:rPr>
              <w:t>[                  ]</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ind w:firstLine="720" w:end="0"/>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Bow Valley Trust</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NZ2978.1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2000-09-19T10:59:00Z</dcterms:created>
  <dc:creator>ECT</dc:creator>
  <dc:description/>
  <dc:language>en-CA</dc:language>
  <cp:lastModifiedBy>sshackl</cp:lastModifiedBy>
  <cp:lastPrinted>2000-09-19T09:31:00Z</cp:lastPrinted>
  <dcterms:modified xsi:type="dcterms:W3CDTF">2000-09-19T12:02:00Z</dcterms:modified>
  <cp:revision>12</cp:revision>
  <dc:subject>Williams Energy Marketing &amp; Trading Company</dc:subject>
  <dc:title>NZ2978.1</dc:title>
</cp:coreProperties>
</file>