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22, 2000</w:t>
      </w:r>
      <w:r>
        <w:rPr>
          <w:sz w:val="22"/>
        </w:rPr>
        <w:fldChar w:fldCharType="end"/>
      </w:r>
    </w:p>
    <w:p>
      <w:pPr>
        <w:pStyle w:val="Normal"/>
        <w:rPr/>
      </w:pPr>
      <w:r>
        <w:rPr>
          <w:sz w:val="22"/>
        </w:rPr>
        <w:t>To:</w:t>
        <w:tab/>
        <w:tab/>
        <w:t xml:space="preserve">Bow </w:t>
      </w:r>
      <w:ins w:id="0" w:author="sshackl" w:date="2000-09-22T17:45:00Z">
        <w:r>
          <w:rPr>
            <w:sz w:val="22"/>
          </w:rPr>
          <w:t>River</w:t>
        </w:r>
      </w:ins>
      <w:del w:id="1" w:author="sshackl" w:date="2000-09-22T17:44:00Z">
        <w:r>
          <w:rPr>
            <w:sz w:val="22"/>
          </w:rPr>
          <w:delText>Valley</w:delText>
        </w:r>
      </w:del>
      <w:r>
        <w:rPr>
          <w:sz w:val="22"/>
        </w:rPr>
        <w:t xml:space="preserve"> Trust ("Party B")</w:t>
      </w:r>
    </w:p>
    <w:p>
      <w:pPr>
        <w:pStyle w:val="Normal"/>
        <w:rPr>
          <w:sz w:val="22"/>
        </w:rPr>
      </w:pPr>
      <w:r>
        <w:rPr>
          <w:sz w:val="22"/>
        </w:rPr>
        <w:t>Attention:</w:t>
        <w:tab/>
        <w:t>[                 ]</w:t>
      </w:r>
    </w:p>
    <w:p>
      <w:pPr>
        <w:pStyle w:val="Normal"/>
        <w:rPr>
          <w:sz w:val="22"/>
        </w:rPr>
      </w:pPr>
      <w:r>
        <w:rPr>
          <w:sz w:val="22"/>
        </w:rPr>
        <w:t>Fax No.:</w:t>
        <w:tab/>
        <w:t>[(   )         ]</w:t>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Canada Corp.</w:t>
      </w:r>
      <w:r>
        <w:rPr>
          <w:sz w:val="22"/>
        </w:rPr>
        <w:fldChar w:fldCharType="end"/>
      </w:r>
      <w:r>
        <w:rPr>
          <w:sz w:val="22"/>
        </w:rPr>
        <w:t xml:space="preserve"> ("Party A")</w:t>
      </w:r>
    </w:p>
    <w:p>
      <w:pPr>
        <w:pStyle w:val="Normal"/>
        <w:rPr>
          <w:sz w:val="22"/>
        </w:rPr>
      </w:pPr>
      <w:r>
        <w:rPr>
          <w:sz w:val="22"/>
        </w:rPr>
        <w:t>Re:</w:t>
        <w:tab/>
        <w:tab/>
        <w:t>Commodity Swap [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September [  ], 2000,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ind w:start="-18" w:end="0"/>
              <w:jc w:val="both"/>
              <w:rPr>
                <w:sz w:val="22"/>
              </w:rPr>
            </w:pPr>
            <w:r>
              <w:rPr>
                <w:sz w:val="22"/>
              </w:rPr>
              <w:fldChar w:fldCharType="begin"/>
            </w:r>
            <w:r>
              <w:rPr>
                <w:sz w:val="22"/>
              </w:rPr>
              <w:instrText xml:space="preserve"> MERGEFIELD QtyPerPeriod </w:instrText>
            </w:r>
            <w:r>
              <w:rPr>
                <w:sz w:val="22"/>
              </w:rPr>
              <w:fldChar w:fldCharType="separate"/>
            </w:r>
            <w:r>
              <w:rPr>
                <w:sz w:val="22"/>
              </w:rPr>
              <w:t>For each Calculation Period, the amount set forth in Exhibit I attached hereto opposite such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r>
              <w:rPr>
                <w:sz w:val="22"/>
              </w:rPr>
              <w:t xml:space="preserve"> </w:t>
            </w:r>
            <w:r>
              <w:rPr>
                <w:sz w:val="22"/>
              </w:rPr>
              <w:t>- Gigajoules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Gigajoules (“GJ”)</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22,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September 22,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September 30,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See Exhibit I attached hereto</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Amount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Amount:</w:t>
            </w:r>
          </w:p>
          <w:p>
            <w:pPr>
              <w:pStyle w:val="Normal"/>
              <w:ind w:firstLine="720" w:end="0"/>
              <w:rPr>
                <w:sz w:val="22"/>
              </w:rPr>
            </w:pPr>
            <w:r>
              <w:rPr>
                <w:sz w:val="22"/>
              </w:rPr>
            </w:r>
          </w:p>
          <w:p>
            <w:pPr>
              <w:pStyle w:val="Normal"/>
              <w:ind w:firstLine="720" w:end="0"/>
              <w:rPr>
                <w:sz w:val="22"/>
              </w:rPr>
            </w:pPr>
            <w:r>
              <w:rPr>
                <w:sz w:val="22"/>
              </w:rPr>
              <w:t>Fixed Amount Payment Date:</w:t>
            </w:r>
          </w:p>
        </w:tc>
        <w:tc>
          <w:tcPr>
            <w:tcW w:w="6102" w:type="dxa"/>
            <w:tcBorders/>
          </w:tcPr>
          <w:p>
            <w:pPr>
              <w:pStyle w:val="Normal"/>
              <w:jc w:val="both"/>
              <w:rPr>
                <w:sz w:val="22"/>
              </w:rPr>
            </w:pPr>
            <w:r>
              <w:rPr>
                <w:sz w:val="22"/>
              </w:rPr>
              <w:t>C$</w:t>
            </w:r>
            <w:ins w:id="2" w:author="sshackl" w:date="2000-09-22T17:45:00Z">
              <w:r>
                <w:rPr>
                  <w:sz w:val="22"/>
                </w:rPr>
                <w:t>[</w:t>
              </w:r>
            </w:ins>
            <w:r>
              <w:rPr>
                <w:sz w:val="22"/>
              </w:rPr>
              <w:t>300,000,000</w:t>
            </w:r>
            <w:ins w:id="3" w:author="sshackl" w:date="2000-09-22T17:45:00Z">
              <w:r>
                <w:rPr>
                  <w:sz w:val="22"/>
                </w:rPr>
                <w:t>]</w:t>
              </w:r>
            </w:ins>
          </w:p>
          <w:p>
            <w:pPr>
              <w:pStyle w:val="Normal"/>
              <w:jc w:val="both"/>
              <w:rPr>
                <w:sz w:val="22"/>
              </w:rPr>
            </w:pPr>
            <w:r>
              <w:rPr>
                <w:sz w:val="22"/>
              </w:rPr>
            </w:r>
          </w:p>
          <w:p>
            <w:pPr>
              <w:pStyle w:val="Normal"/>
              <w:jc w:val="both"/>
              <w:rPr>
                <w:sz w:val="22"/>
              </w:rPr>
            </w:pPr>
            <w:r>
              <w:rPr>
                <w:sz w:val="22"/>
              </w:rPr>
              <w:t>The Effective Date</w:t>
            </w:r>
          </w:p>
        </w:tc>
      </w:tr>
    </w:tbl>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w:t>
            </w:r>
          </w:p>
        </w:tc>
        <w:tc>
          <w:tcPr>
            <w:tcW w:w="6102" w:type="dxa"/>
            <w:tcBorders/>
          </w:tcPr>
          <w:p>
            <w:pPr>
              <w:pStyle w:val="Normal"/>
              <w:jc w:val="both"/>
              <w:rPr>
                <w:sz w:val="22"/>
              </w:rPr>
            </w:pPr>
            <w:r>
              <w:rPr>
                <w:sz w:val="22"/>
              </w:rPr>
              <w:t>On the Pricing Date for the applicable Calculation Period, as set forth on Exhibit I attached hereto, the Calculation Agent shall determine the Floating Price, which shall be the price for Natural Gas delivered to Nova Inventory Transfer, with a delivery date of March, 2002</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 xml:space="preserve">Floating Price Payer </w:t>
            </w:r>
          </w:p>
          <w:p>
            <w:pPr>
              <w:pStyle w:val="Normal"/>
              <w:ind w:firstLine="720" w:end="0"/>
              <w:rPr>
                <w:sz w:val="22"/>
              </w:rPr>
            </w:pPr>
            <w:r>
              <w:rPr>
                <w:sz w:val="22"/>
              </w:rPr>
              <w:t>Payment Date:</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Pricing Date for the applicable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b/>
                <w:bCs/>
                <w:sz w:val="22"/>
              </w:rPr>
            </w:pPr>
            <w:r>
              <w:rPr>
                <w:b/>
                <w:bCs/>
                <w:sz w:val="22"/>
              </w:rPr>
              <w:t>Calculation Agent:</w:t>
            </w:r>
          </w:p>
        </w:tc>
        <w:tc>
          <w:tcPr>
            <w:tcW w:w="6102" w:type="dxa"/>
            <w:tcBorders/>
          </w:tcPr>
          <w:p>
            <w:pPr>
              <w:pStyle w:val="Normal"/>
              <w:jc w:val="both"/>
              <w:rPr>
                <w:sz w:val="22"/>
              </w:rPr>
            </w:pPr>
            <w:r>
              <w:rPr>
                <w:sz w:val="22"/>
              </w:rPr>
              <w:t>Party A</w:t>
            </w:r>
          </w:p>
        </w:tc>
      </w:tr>
      <w:tr>
        <w:trPr/>
        <w:tc>
          <w:tcPr>
            <w:tcW w:w="4338" w:type="dxa"/>
            <w:tcBorders/>
          </w:tcPr>
          <w:p>
            <w:pPr>
              <w:pStyle w:val="Normal"/>
              <w:snapToGrid w:val="false"/>
              <w:ind w:firstLine="45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b/>
                <w:bCs/>
                <w:sz w:val="22"/>
              </w:rPr>
            </w:pPr>
            <w:r>
              <w:rPr>
                <w:b/>
                <w:bCs/>
                <w:sz w:val="22"/>
              </w:rPr>
              <w:t>Other Provisions:</w:t>
            </w:r>
          </w:p>
        </w:tc>
        <w:tc>
          <w:tcPr>
            <w:tcW w:w="6102" w:type="dxa"/>
            <w:tcBorders/>
          </w:tcPr>
          <w:p>
            <w:pPr>
              <w:pStyle w:val="BodyText2"/>
              <w:numPr>
                <w:ilvl w:val="0"/>
                <w:numId w:val="2"/>
              </w:numPr>
              <w:ind w:hanging="360" w:start="342" w:end="0"/>
              <w:rPr/>
            </w:pPr>
            <w:del w:id="4" w:author="sshackl" w:date="2000-09-22T17:48:00Z">
              <w:r>
                <w:rPr/>
                <w:delText>For the purpose of Section 6(e) of the ISDA Master Agreement:  (i) Market Quotation will apply, and (ii) the Second Method will apply.</w:delText>
              </w:r>
            </w:del>
          </w:p>
          <w:p>
            <w:pPr>
              <w:pStyle w:val="Normal"/>
              <w:numPr>
                <w:ilvl w:val="0"/>
                <w:numId w:val="2"/>
              </w:numPr>
              <w:tabs>
                <w:tab w:val="clear" w:pos="720"/>
                <w:tab w:val="left" w:pos="342" w:leader="none"/>
              </w:tabs>
              <w:ind w:firstLine="18" w:start="-18" w:end="0"/>
              <w:jc w:val="both"/>
              <w:rPr>
                <w:sz w:val="22"/>
              </w:rPr>
            </w:pPr>
            <w:del w:id="5" w:author="sshackl" w:date="2000-09-22T17:48:00Z">
              <w:r>
                <w:rPr>
                  <w:sz w:val="22"/>
                </w:rPr>
                <w:delText>"Termination Currency" means Canadian Dollars.</w:delText>
              </w:r>
            </w:del>
          </w:p>
          <w:p>
            <w:pPr>
              <w:pStyle w:val="Normal"/>
              <w:numPr>
                <w:ilvl w:val="0"/>
                <w:numId w:val="2"/>
              </w:numPr>
              <w:tabs>
                <w:tab w:val="clear" w:pos="720"/>
                <w:tab w:val="left" w:pos="342" w:leader="none"/>
              </w:tabs>
              <w:ind w:hanging="360" w:start="342" w:end="0"/>
              <w:jc w:val="both"/>
              <w:rPr>
                <w:color w:val="000000"/>
                <w:sz w:val="22"/>
              </w:rPr>
            </w:pPr>
            <w:r>
              <w:rPr>
                <w:color w:val="000000"/>
                <w:sz w:val="22"/>
              </w:rPr>
              <w:t>For purposes of Paragraph 13 to the ISDA Credit Support Annex, the term "Valuation Date" shall mean any Friday during the Term of this Transaction, subject to adjustment in accordance with the Modified Following Business Day Convention.</w:t>
            </w:r>
          </w:p>
          <w:p>
            <w:pPr>
              <w:pStyle w:val="Normal"/>
              <w:numPr>
                <w:ilvl w:val="0"/>
                <w:numId w:val="2"/>
              </w:numPr>
              <w:tabs>
                <w:tab w:val="clear" w:pos="720"/>
                <w:tab w:val="left" w:pos="342" w:leader="none"/>
              </w:tabs>
              <w:ind w:hanging="342" w:start="342" w:end="0"/>
              <w:jc w:val="both"/>
              <w:rPr>
                <w:sz w:val="22"/>
                <w:ins w:id="7" w:author="sshackl" w:date="2000-09-22T17:47:00Z"/>
              </w:rPr>
            </w:pPr>
            <w:del w:id="6" w:author="sshackl" w:date="2000-09-22T17:46:00Z">
              <w:r>
                <w:rPr>
                  <w:sz w:val="22"/>
                </w:rPr>
                <w:delText>NOTE TO DRAFT:  bilateral optional early termination</w:delText>
              </w:r>
            </w:del>
          </w:p>
          <w:p>
            <w:pPr>
              <w:pStyle w:val="Normal"/>
              <w:tabs>
                <w:tab w:val="clear" w:pos="720"/>
                <w:tab w:val="left" w:pos="342" w:leader="none"/>
              </w:tabs>
              <w:jc w:val="both"/>
              <w:rPr>
                <w:sz w:val="22"/>
              </w:rPr>
            </w:pPr>
            <w:ins w:id="8" w:author="sshackl" w:date="2000-09-22T17:47:00Z">
              <w:r>
                <w:rPr>
                  <w:sz w:val="22"/>
                </w:rPr>
                <w:t>.</w:t>
              </w:r>
            </w:ins>
          </w:p>
        </w:tc>
      </w:tr>
      <w:tr>
        <w:trPr/>
        <w:tc>
          <w:tcPr>
            <w:tcW w:w="4338" w:type="dxa"/>
            <w:tcBorders/>
          </w:tcPr>
          <w:p>
            <w:pPr>
              <w:pStyle w:val="Normal"/>
              <w:ind w:firstLine="720" w:end="0"/>
              <w:rPr>
                <w:sz w:val="22"/>
              </w:rPr>
            </w:pPr>
            <w:del w:id="9" w:author="sshackl" w:date="2000-09-22T17:47:00Z">
              <w:r>
                <w:rPr>
                  <w:sz w:val="22"/>
                </w:rPr>
                <w:fldChar w:fldCharType="begin"/>
              </w:r>
              <w:r>
                <w:rPr>
                  <w:sz w:val="22"/>
                </w:rPr>
                <w:delInstrText xml:space="preserve"> MERGEFIELD AlternatePriceLit </w:delInstrText>
              </w:r>
              <w:r>
                <w:rPr>
                  <w:sz w:val="22"/>
                </w:rPr>
                <w:fldChar w:fldCharType="separate"/>
              </w:r>
              <w:r>
                <w:rPr>
                  <w:sz w:val="22"/>
                </w:rPr>
                <w:delText xml:space="preserve"> </w:delText>
              </w:r>
              <w:r>
                <w:rPr>
                  <w:sz w:val="22"/>
                </w:rPr>
                <w:fldChar w:fldCharType="end"/>
              </w:r>
            </w:del>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4338" w:type="dxa"/>
            <w:tcBorders/>
          </w:tcPr>
          <w:p>
            <w:pPr>
              <w:pStyle w:val="Normal"/>
              <w:tabs>
                <w:tab w:val="clear" w:pos="720"/>
                <w:tab w:val="left" w:pos="1080" w:leader="none"/>
                <w:tab w:val="left" w:pos="1170" w:leader="none"/>
              </w:tabs>
              <w:ind w:firstLine="720" w:end="0"/>
              <w:rPr>
                <w:sz w:val="22"/>
              </w:rPr>
            </w:pPr>
            <w:r>
              <w:rPr>
                <w:sz w:val="22"/>
              </w:rPr>
              <w:t>3.</w:t>
              <w:tab/>
              <w:t>Account Details</w:t>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1080" w:end="0"/>
              <w:rPr>
                <w:sz w:val="22"/>
              </w:rPr>
            </w:pPr>
            <w:r>
              <w:rPr>
                <w:sz w:val="22"/>
              </w:rPr>
              <w:t>Payments to Party A:</w:t>
            </w:r>
          </w:p>
        </w:tc>
        <w:tc>
          <w:tcPr>
            <w:tcW w:w="6102" w:type="dxa"/>
            <w:tcBorders/>
          </w:tcPr>
          <w:p>
            <w:pPr>
              <w:pStyle w:val="Normal"/>
              <w:jc w:val="both"/>
              <w:rPr>
                <w:sz w:val="22"/>
              </w:rPr>
            </w:pPr>
            <w:r>
              <w:rPr>
                <w:sz w:val="22"/>
              </w:rPr>
              <w:t>Bank of Montreal</w:t>
            </w:r>
          </w:p>
          <w:p>
            <w:pPr>
              <w:pStyle w:val="Normal"/>
              <w:jc w:val="both"/>
              <w:rPr>
                <w:sz w:val="22"/>
              </w:rPr>
            </w:pPr>
            <w:r>
              <w:rPr>
                <w:sz w:val="22"/>
              </w:rPr>
              <w:t>BOFMCAM2</w:t>
            </w:r>
          </w:p>
          <w:p>
            <w:pPr>
              <w:pStyle w:val="Normal"/>
              <w:jc w:val="both"/>
              <w:rPr>
                <w:sz w:val="22"/>
              </w:rPr>
            </w:pPr>
            <w:r>
              <w:rPr>
                <w:sz w:val="22"/>
              </w:rPr>
              <w:t>City Bank Canada</w:t>
            </w:r>
          </w:p>
          <w:p>
            <w:pPr>
              <w:pStyle w:val="Normal"/>
              <w:jc w:val="both"/>
              <w:rPr>
                <w:sz w:val="22"/>
              </w:rPr>
            </w:pPr>
            <w:r>
              <w:rPr>
                <w:sz w:val="22"/>
              </w:rPr>
              <w:t>Acct. No. 1017-221</w:t>
            </w:r>
          </w:p>
          <w:p>
            <w:pPr>
              <w:pStyle w:val="BodyText2"/>
              <w:tabs>
                <w:tab w:val="clear" w:pos="342"/>
              </w:tabs>
              <w:rPr/>
            </w:pPr>
            <w:r>
              <w:rPr/>
              <w:t>For credit of Enron Canada Corp.</w:t>
            </w:r>
          </w:p>
          <w:p>
            <w:pPr>
              <w:pStyle w:val="Normal"/>
              <w:jc w:val="both"/>
              <w:rPr>
                <w:sz w:val="22"/>
              </w:rPr>
            </w:pPr>
            <w:r>
              <w:rPr/>
              <w:t>Acct. No.  2013578009</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spacing w:before="60" w:after="0"/>
              <w:jc w:val="both"/>
              <w:rPr>
                <w:sz w:val="22"/>
              </w:rPr>
            </w:pPr>
            <w:r>
              <w:rPr>
                <w:sz w:val="22"/>
              </w:rPr>
            </w:r>
          </w:p>
        </w:tc>
      </w:tr>
      <w:tr>
        <w:trPr/>
        <w:tc>
          <w:tcPr>
            <w:tcW w:w="4338" w:type="dxa"/>
            <w:tcBorders/>
          </w:tcPr>
          <w:p>
            <w:pPr>
              <w:pStyle w:val="Normal"/>
              <w:tabs>
                <w:tab w:val="clear" w:pos="720"/>
                <w:tab w:val="left" w:pos="1080" w:leader="none"/>
              </w:tabs>
              <w:ind w:firstLine="1080" w:end="0"/>
              <w:rPr>
                <w:sz w:val="22"/>
              </w:rPr>
            </w:pPr>
            <w:r>
              <w:rPr>
                <w:sz w:val="22"/>
              </w:rPr>
              <w:t>Payments to Party B:</w:t>
            </w:r>
          </w:p>
        </w:tc>
        <w:tc>
          <w:tcPr>
            <w:tcW w:w="6102" w:type="dxa"/>
            <w:tcBorders/>
          </w:tcPr>
          <w:p>
            <w:pPr>
              <w:pStyle w:val="Normal"/>
              <w:spacing w:before="60" w:after="0"/>
              <w:jc w:val="both"/>
              <w:rPr>
                <w:sz w:val="22"/>
              </w:rPr>
            </w:pPr>
            <w:r>
              <w:rPr>
                <w:sz w:val="22"/>
              </w:rPr>
              <w:t>Please advise</w:t>
            </w:r>
          </w:p>
        </w:tc>
      </w:tr>
      <w:tr>
        <w:trPr/>
        <w:tc>
          <w:tcPr>
            <w:tcW w:w="4338" w:type="dxa"/>
            <w:tcBorders/>
          </w:tcPr>
          <w:p>
            <w:pPr>
              <w:pStyle w:val="Normal"/>
              <w:tabs>
                <w:tab w:val="clear" w:pos="720"/>
                <w:tab w:val="left" w:pos="1080" w:leader="none"/>
              </w:tabs>
              <w:snapToGrid w:val="false"/>
              <w:ind w:firstLine="720" w:end="0"/>
              <w:rPr>
                <w:sz w:val="22"/>
              </w:rPr>
            </w:pPr>
            <w:r>
              <w:rPr>
                <w:sz w:val="22"/>
              </w:rPr>
            </w:r>
          </w:p>
        </w:tc>
        <w:tc>
          <w:tcPr>
            <w:tcW w:w="6102" w:type="dxa"/>
            <w:tcBorders/>
          </w:tcPr>
          <w:p>
            <w:pPr>
              <w:pStyle w:val="Normal"/>
              <w:snapToGrid w:val="false"/>
              <w:spacing w:before="60" w:after="0"/>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r>
        <w:br w:type="page"/>
      </w:r>
    </w:p>
    <w:p>
      <w:pPr>
        <w:pStyle w:val="Normal"/>
        <w:jc w:val="both"/>
        <w:rPr>
          <w:sz w:val="22"/>
        </w:rPr>
      </w:pPr>
      <w:r>
        <w:rPr>
          <w:sz w:val="22"/>
        </w:rPr>
      </w:r>
    </w:p>
    <w:p>
      <w:pPr>
        <w:pStyle w:val="Normal"/>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Canada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sz w:val="22"/>
              </w:rPr>
            </w:pPr>
            <w:r>
              <w:rPr>
                <w:sz w:val="22"/>
              </w:rPr>
              <w:t>Deal No. [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del w:id="10" w:author="sshackl" w:date="2000-09-22T17:54:00Z">
              <w:r>
                <w:rPr>
                  <w:sz w:val="22"/>
                </w:rPr>
                <w:delText>Bow Valley Trust</w:delText>
              </w:r>
            </w:del>
            <w:ins w:id="11" w:author="sshackl" w:date="2000-09-22T17:54:00Z">
              <w:r>
                <w:rPr>
                  <w:sz w:val="22"/>
                </w:rPr>
                <w:t>Montreal Trust Company of Canada not in its individual capacity but in its capacity as trustee of Bow River Trust</w:t>
              </w:r>
            </w:ins>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r>
        <w:br w:type="page"/>
      </w:r>
    </w:p>
    <w:p>
      <w:pPr>
        <w:pStyle w:val="Normal"/>
        <w:jc w:val="center"/>
        <w:rPr>
          <w:b/>
          <w:sz w:val="22"/>
        </w:rPr>
      </w:pPr>
      <w:r>
        <w:rPr>
          <w:b/>
          <w:sz w:val="22"/>
        </w:rPr>
        <w:t>Exhibit I</w:t>
      </w:r>
    </w:p>
    <w:p>
      <w:pPr>
        <w:pStyle w:val="Normal"/>
        <w:jc w:val="center"/>
        <w:rPr>
          <w:b/>
          <w:sz w:val="22"/>
        </w:rPr>
      </w:pPr>
      <w:r>
        <w:rPr>
          <w:b/>
          <w:sz w:val="22"/>
        </w:rPr>
        <w:t>Contract No. [            ]</w:t>
      </w:r>
    </w:p>
    <w:p>
      <w:pPr>
        <w:pStyle w:val="Normal"/>
        <w:rPr>
          <w:b/>
          <w:sz w:val="22"/>
        </w:rPr>
      </w:pPr>
      <w:r>
        <w:rPr>
          <w:b/>
          <w:sz w:val="22"/>
        </w:rPr>
      </w:r>
    </w:p>
    <w:p>
      <w:pPr>
        <w:pStyle w:val="BodyText"/>
        <w:rPr>
          <w:b/>
        </w:rPr>
      </w:pPr>
      <w:r>
        <w:rPr>
          <w:b/>
        </w:rPr>
        <w:tab/>
        <w:tab/>
        <w:t>Quantity Measurement: Gigajoules</w:t>
      </w:r>
    </w:p>
    <w:p>
      <w:pPr>
        <w:pStyle w:val="BodyText"/>
        <w:rPr>
          <w:b/>
        </w:rPr>
      </w:pPr>
      <w:r>
        <w:rPr>
          <w:b/>
        </w:rPr>
      </w:r>
    </w:p>
    <w:tbl>
      <w:tblPr>
        <w:tblW w:w="9360" w:type="dxa"/>
        <w:jc w:val="start"/>
        <w:tblInd w:w="378" w:type="dxa"/>
        <w:tblLayout w:type="fixed"/>
        <w:tblCellMar>
          <w:top w:w="0" w:type="dxa"/>
          <w:start w:w="108" w:type="dxa"/>
          <w:bottom w:w="0" w:type="dxa"/>
          <w:end w:w="108" w:type="dxa"/>
        </w:tblCellMar>
      </w:tblPr>
      <w:tblGrid>
        <w:gridCol w:w="4140"/>
        <w:gridCol w:w="2610"/>
        <w:gridCol w:w="2610"/>
      </w:tblGrid>
      <w:tr>
        <w:trPr/>
        <w:tc>
          <w:tcPr>
            <w:tcW w:w="4140" w:type="dxa"/>
            <w:tcBorders/>
          </w:tcPr>
          <w:p>
            <w:pPr>
              <w:pStyle w:val="BodyText"/>
              <w:snapToGrid w:val="false"/>
              <w:ind w:start="162" w:end="0"/>
              <w:rPr>
                <w:b/>
              </w:rPr>
            </w:pPr>
            <w:r>
              <w:rPr>
                <w:b/>
              </w:rPr>
            </w:r>
          </w:p>
          <w:p>
            <w:pPr>
              <w:pStyle w:val="BodyText"/>
              <w:ind w:start="162" w:end="0"/>
              <w:rPr>
                <w:b/>
              </w:rPr>
            </w:pPr>
            <w:r>
              <w:rPr>
                <w:b/>
              </w:rPr>
              <w:t>Calculation</w:t>
            </w:r>
          </w:p>
          <w:p>
            <w:pPr>
              <w:pStyle w:val="BodyText"/>
              <w:ind w:start="162" w:end="0"/>
              <w:rPr>
                <w:b/>
              </w:rPr>
            </w:pPr>
            <w:r>
              <w:rPr>
                <w:b/>
              </w:rPr>
              <w:t xml:space="preserve">    </w:t>
            </w:r>
            <w:r>
              <w:rPr>
                <w:b/>
              </w:rPr>
              <w:t>Period</w:t>
            </w:r>
          </w:p>
        </w:tc>
        <w:tc>
          <w:tcPr>
            <w:tcW w:w="2610" w:type="dxa"/>
            <w:tcBorders/>
          </w:tcPr>
          <w:p>
            <w:pPr>
              <w:pStyle w:val="BodyText"/>
              <w:snapToGrid w:val="false"/>
              <w:jc w:val="center"/>
              <w:rPr>
                <w:b/>
              </w:rPr>
            </w:pPr>
            <w:r>
              <w:rPr>
                <w:b/>
              </w:rPr>
            </w:r>
          </w:p>
          <w:p>
            <w:pPr>
              <w:pStyle w:val="BodyText"/>
              <w:jc w:val="center"/>
              <w:rPr>
                <w:b/>
              </w:rPr>
            </w:pPr>
            <w:r>
              <w:rPr>
                <w:b/>
              </w:rPr>
              <w:t>Pricing</w:t>
            </w:r>
          </w:p>
          <w:p>
            <w:pPr>
              <w:pStyle w:val="BodyText"/>
              <w:jc w:val="center"/>
              <w:rPr>
                <w:b/>
              </w:rPr>
            </w:pPr>
            <w:r>
              <w:rPr>
                <w:b/>
              </w:rPr>
              <w:t>Date</w:t>
            </w:r>
          </w:p>
        </w:tc>
        <w:tc>
          <w:tcPr>
            <w:tcW w:w="2610" w:type="dxa"/>
            <w:tcBorders/>
          </w:tcPr>
          <w:p>
            <w:pPr>
              <w:pStyle w:val="BodyText"/>
              <w:ind w:start="162" w:end="0"/>
              <w:rPr>
                <w:b/>
              </w:rPr>
            </w:pPr>
            <w:r>
              <w:rPr>
                <w:b/>
              </w:rPr>
              <w:t>Notional Quantity</w:t>
            </w:r>
          </w:p>
          <w:p>
            <w:pPr>
              <w:pStyle w:val="BodyText"/>
              <w:ind w:start="162" w:end="0"/>
              <w:rPr>
                <w:b/>
              </w:rPr>
            </w:pPr>
            <w:r>
              <w:rPr>
                <w:b/>
              </w:rPr>
              <w:t xml:space="preserve">  </w:t>
            </w:r>
            <w:r>
              <w:rPr>
                <w:b/>
              </w:rPr>
              <w:t>per Calculation</w:t>
            </w:r>
          </w:p>
          <w:p>
            <w:pPr>
              <w:pStyle w:val="BodyText"/>
              <w:ind w:start="162" w:end="0"/>
              <w:rPr>
                <w:b/>
              </w:rPr>
            </w:pPr>
            <w:r>
              <w:rPr>
                <w:b/>
              </w:rPr>
              <w:t xml:space="preserve">     </w:t>
            </w:r>
            <w:r>
              <w:rPr>
                <w:b/>
              </w:rPr>
              <w:t>Period (GJ)</w:t>
            </w:r>
          </w:p>
        </w:tc>
      </w:tr>
      <w:tr>
        <w:trPr/>
        <w:tc>
          <w:tcPr>
            <w:tcW w:w="4140" w:type="dxa"/>
            <w:tcBorders/>
          </w:tcPr>
          <w:p>
            <w:pPr>
              <w:pStyle w:val="BodyText"/>
              <w:rPr>
                <w:b/>
              </w:rPr>
            </w:pPr>
            <w:r>
              <w:rPr>
                <w:b/>
              </w:rPr>
              <w:t>------------------</w:t>
            </w:r>
          </w:p>
        </w:tc>
        <w:tc>
          <w:tcPr>
            <w:tcW w:w="2610" w:type="dxa"/>
            <w:tcBorders/>
          </w:tcPr>
          <w:p>
            <w:pPr>
              <w:pStyle w:val="BodyText"/>
              <w:jc w:val="center"/>
              <w:rPr>
                <w:b/>
              </w:rPr>
            </w:pPr>
            <w:r>
              <w:rPr>
                <w:b/>
              </w:rPr>
              <w:t>-----------------</w:t>
            </w:r>
          </w:p>
        </w:tc>
        <w:tc>
          <w:tcPr>
            <w:tcW w:w="2610" w:type="dxa"/>
            <w:tcBorders/>
          </w:tcPr>
          <w:p>
            <w:pPr>
              <w:pStyle w:val="BodyText"/>
              <w:rPr>
                <w:b/>
              </w:rPr>
            </w:pPr>
            <w:r>
              <w:rPr>
                <w:b/>
              </w:rPr>
              <w:t xml:space="preserve">  </w:t>
            </w:r>
            <w:r>
              <w:rPr>
                <w:b/>
              </w:rPr>
              <w:t>------------------------</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rPr>
                <w:b/>
              </w:rPr>
            </w:pPr>
            <w:r>
              <w:rPr>
                <w:b/>
              </w:rPr>
            </w:r>
          </w:p>
        </w:tc>
      </w:tr>
      <w:tr>
        <w:trPr/>
        <w:tc>
          <w:tcPr>
            <w:tcW w:w="4140" w:type="dxa"/>
            <w:tcBorders/>
          </w:tcPr>
          <w:p>
            <w:pPr>
              <w:pStyle w:val="BodyText"/>
              <w:rPr>
                <w:b/>
              </w:rPr>
            </w:pPr>
            <w:r>
              <w:rPr>
                <w:b/>
              </w:rPr>
              <w:t>September 22, 2000 – October 31, 2000</w:t>
            </w:r>
          </w:p>
        </w:tc>
        <w:tc>
          <w:tcPr>
            <w:tcW w:w="2610" w:type="dxa"/>
            <w:tcBorders/>
          </w:tcPr>
          <w:p>
            <w:pPr>
              <w:pStyle w:val="BodyText"/>
              <w:ind w:start="162" w:end="0"/>
              <w:rPr>
                <w:b/>
              </w:rPr>
            </w:pPr>
            <w:r>
              <w:rPr>
                <w:b/>
              </w:rPr>
              <w:t>October 30, 2000</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November 1, 2000 – November 30, 2000</w:t>
            </w:r>
          </w:p>
        </w:tc>
        <w:tc>
          <w:tcPr>
            <w:tcW w:w="2610" w:type="dxa"/>
            <w:tcBorders/>
          </w:tcPr>
          <w:p>
            <w:pPr>
              <w:pStyle w:val="BodyText"/>
              <w:ind w:start="162" w:end="0"/>
              <w:rPr>
                <w:b/>
              </w:rPr>
            </w:pPr>
            <w:r>
              <w:rPr>
                <w:b/>
              </w:rPr>
              <w:t>November 30, 2000</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December 1, 2000 – December 31, 2000</w:t>
            </w:r>
          </w:p>
        </w:tc>
        <w:tc>
          <w:tcPr>
            <w:tcW w:w="2610" w:type="dxa"/>
            <w:tcBorders/>
          </w:tcPr>
          <w:p>
            <w:pPr>
              <w:pStyle w:val="BodyText"/>
              <w:ind w:start="162" w:end="0"/>
              <w:rPr>
                <w:b/>
              </w:rPr>
            </w:pPr>
            <w:r>
              <w:rPr>
                <w:b/>
              </w:rPr>
              <w:t>December 31, 2000</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January 1, 2001 – January 31, 2001</w:t>
            </w:r>
          </w:p>
        </w:tc>
        <w:tc>
          <w:tcPr>
            <w:tcW w:w="2610" w:type="dxa"/>
            <w:tcBorders/>
          </w:tcPr>
          <w:p>
            <w:pPr>
              <w:pStyle w:val="BodyText"/>
              <w:ind w:start="162" w:end="0"/>
              <w:rPr>
                <w:b/>
              </w:rPr>
            </w:pPr>
            <w:r>
              <w:rPr>
                <w:b/>
              </w:rPr>
              <w:t>January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February 1, 2001 – February 28, 2001</w:t>
            </w:r>
          </w:p>
        </w:tc>
        <w:tc>
          <w:tcPr>
            <w:tcW w:w="2610" w:type="dxa"/>
            <w:tcBorders/>
          </w:tcPr>
          <w:p>
            <w:pPr>
              <w:pStyle w:val="BodyText"/>
              <w:ind w:start="162" w:end="0"/>
              <w:rPr>
                <w:b/>
              </w:rPr>
            </w:pPr>
            <w:r>
              <w:rPr>
                <w:b/>
              </w:rPr>
              <w:t>February 28,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March 1, 2001 – March 31, 2001</w:t>
            </w:r>
          </w:p>
        </w:tc>
        <w:tc>
          <w:tcPr>
            <w:tcW w:w="2610" w:type="dxa"/>
            <w:tcBorders/>
          </w:tcPr>
          <w:p>
            <w:pPr>
              <w:pStyle w:val="BodyText"/>
              <w:ind w:start="162" w:end="0"/>
              <w:rPr>
                <w:b/>
              </w:rPr>
            </w:pPr>
            <w:r>
              <w:rPr>
                <w:b/>
              </w:rPr>
              <w:t>March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April 1, 2001 – April 30, 2001</w:t>
            </w:r>
          </w:p>
        </w:tc>
        <w:tc>
          <w:tcPr>
            <w:tcW w:w="2610" w:type="dxa"/>
            <w:tcBorders/>
          </w:tcPr>
          <w:p>
            <w:pPr>
              <w:pStyle w:val="BodyText"/>
              <w:ind w:start="162" w:end="0"/>
              <w:rPr>
                <w:b/>
              </w:rPr>
            </w:pPr>
            <w:r>
              <w:rPr>
                <w:b/>
              </w:rPr>
              <w:t>April 30,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May 1, 2001 – May 31, 2001</w:t>
            </w:r>
          </w:p>
        </w:tc>
        <w:tc>
          <w:tcPr>
            <w:tcW w:w="2610" w:type="dxa"/>
            <w:tcBorders/>
          </w:tcPr>
          <w:p>
            <w:pPr>
              <w:pStyle w:val="BodyText"/>
              <w:ind w:start="162" w:end="0"/>
              <w:rPr>
                <w:b/>
              </w:rPr>
            </w:pPr>
            <w:r>
              <w:rPr>
                <w:b/>
              </w:rPr>
              <w:t>May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June 1, 2001 – June 30, 2001</w:t>
            </w:r>
          </w:p>
        </w:tc>
        <w:tc>
          <w:tcPr>
            <w:tcW w:w="2610" w:type="dxa"/>
            <w:tcBorders/>
          </w:tcPr>
          <w:p>
            <w:pPr>
              <w:pStyle w:val="BodyText"/>
              <w:ind w:start="162" w:end="0"/>
              <w:rPr>
                <w:b/>
              </w:rPr>
            </w:pPr>
            <w:r>
              <w:rPr>
                <w:b/>
              </w:rPr>
              <w:t>June 30,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July 1, 2001 – July 31, 2001</w:t>
            </w:r>
          </w:p>
        </w:tc>
        <w:tc>
          <w:tcPr>
            <w:tcW w:w="2610" w:type="dxa"/>
            <w:tcBorders/>
          </w:tcPr>
          <w:p>
            <w:pPr>
              <w:pStyle w:val="BodyText"/>
              <w:ind w:start="162" w:end="0"/>
              <w:rPr>
                <w:b/>
              </w:rPr>
            </w:pPr>
            <w:r>
              <w:rPr>
                <w:b/>
              </w:rPr>
              <w:t>July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August 1, 2001 – August 31, 2001</w:t>
            </w:r>
          </w:p>
        </w:tc>
        <w:tc>
          <w:tcPr>
            <w:tcW w:w="2610" w:type="dxa"/>
            <w:tcBorders/>
          </w:tcPr>
          <w:p>
            <w:pPr>
              <w:pStyle w:val="BodyText"/>
              <w:ind w:start="162" w:end="0"/>
              <w:rPr>
                <w:b/>
              </w:rPr>
            </w:pPr>
            <w:r>
              <w:rPr>
                <w:b/>
              </w:rPr>
              <w:t>August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September 1, 2001 – September 30, 2001</w:t>
            </w:r>
          </w:p>
        </w:tc>
        <w:tc>
          <w:tcPr>
            <w:tcW w:w="2610" w:type="dxa"/>
            <w:tcBorders/>
          </w:tcPr>
          <w:p>
            <w:pPr>
              <w:pStyle w:val="BodyText"/>
              <w:ind w:start="162" w:end="0"/>
              <w:rPr>
                <w:b/>
              </w:rPr>
            </w:pPr>
            <w:r>
              <w:rPr>
                <w:b/>
              </w:rPr>
              <w:t>September, 30, 2001</w:t>
            </w:r>
          </w:p>
        </w:tc>
        <w:tc>
          <w:tcPr>
            <w:tcW w:w="2610" w:type="dxa"/>
            <w:tcBorders/>
          </w:tcPr>
          <w:p>
            <w:pPr>
              <w:pStyle w:val="BodyText"/>
              <w:ind w:start="72" w:end="0"/>
              <w:rPr>
                <w:b/>
              </w:rPr>
            </w:pPr>
            <w:r>
              <w:rPr>
                <w:b/>
              </w:rPr>
              <w:t>[                              ]</w:t>
            </w:r>
          </w:p>
        </w:tc>
      </w:tr>
    </w:tbl>
    <w:p>
      <w:pPr>
        <w:pStyle w:val="BodyText"/>
        <w:rPr>
          <w:b/>
        </w:rPr>
      </w:pPr>
      <w:r>
        <w:rPr>
          <w:b/>
        </w:rPr>
      </w:r>
    </w:p>
    <w:p>
      <w:pPr>
        <w:pStyle w:val="BodyText"/>
        <w:rPr>
          <w:b/>
        </w:rPr>
      </w:pPr>
      <w:r>
        <w:rPr>
          <w:b/>
        </w:rPr>
        <w:tab/>
        <w:tab/>
      </w:r>
    </w:p>
    <w:p>
      <w:pPr>
        <w:pStyle w:val="BodyText"/>
        <w:rPr>
          <w:b/>
        </w:rPr>
      </w:pPr>
      <w:r>
        <w:rPr>
          <w:b/>
        </w:rPr>
      </w:r>
    </w:p>
    <w:p>
      <w:pPr>
        <w:pStyle w:val="Normal"/>
        <w:rPr>
          <w:b/>
          <w:sz w:val="22"/>
        </w:rPr>
      </w:pPr>
      <w:r>
        <w:rPr>
          <w:b/>
          <w:sz w:val="22"/>
        </w:rPr>
        <w:tab/>
        <w:tab/>
        <w:t>End Of Attachment</w:t>
      </w:r>
    </w:p>
    <w:p>
      <w:pPr>
        <w:pStyle w:val="Normal"/>
        <w:rPr>
          <w:b/>
          <w:sz w:val="22"/>
        </w:rPr>
      </w:pPr>
      <w:r>
        <w:rPr>
          <w:b/>
          <w:sz w:val="22"/>
        </w:rPr>
      </w:r>
    </w:p>
    <w:p>
      <w:pPr>
        <w:pStyle w:val="Header"/>
        <w:tabs>
          <w:tab w:val="clear" w:pos="4320"/>
          <w:tab w:val="clear" w:pos="8640"/>
        </w:tabs>
        <w:rPr>
          <w:b/>
        </w:rPr>
      </w:pPr>
      <w:r>
        <w:rPr>
          <w:b/>
        </w:rPr>
      </w:r>
    </w:p>
    <w:sectPr>
      <w:headerReference w:type="default" r:id="rId3"/>
      <w:headerReference w:type="first" r:id="rId4"/>
      <w:footerReference w:type="default" r:id="rId5"/>
      <w:footerReference w:type="first" r:id="rId6"/>
      <w:type w:val="nextPage"/>
      <w:pgSz w:w="12240" w:h="15840"/>
      <w:pgMar w:left="1152" w:right="864" w:gutter="0" w:header="720" w:top="864"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/mnt/main-storage/datasets/enron-docs/doc/ECCBowRaecoR1.doc</w:t>
    </w:r>
    <w:r>
      <w:rPr>
        <w:sz w:val="16"/>
      </w:rPr>
      <w:fldChar w:fldCharType="end"/>
    </w:r>
    <w:r>
      <w:rPr>
        <w:sz w:val="16"/>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342" w:leader="none"/>
      </w:tabs>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2000-09-22T20:14:00Z</dcterms:created>
  <dc:creator>ECT</dc:creator>
  <dc:description/>
  <dc:language>en-CA</dc:language>
  <cp:lastModifiedBy>sshackl</cp:lastModifiedBy>
  <cp:lastPrinted>2000-09-19T16:36:00Z</cp:lastPrinted>
  <dcterms:modified xsi:type="dcterms:W3CDTF">2000-09-22T20:28:00Z</dcterms:modified>
  <cp:revision>5</cp:revision>
  <dc:subject>Williams Energy Marketing &amp; Trading Company</dc:subject>
  <dc:title>NZ2978.1</dc:title>
</cp:coreProperties>
</file>