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540" w:start="540" w:end="0"/>
        <w:rPr>
          <w:sz w:val="20"/>
        </w:rPr>
      </w:pPr>
      <w:r>
        <w:rPr>
          <w:sz w:val="20"/>
        </w:rPr>
        <w:drawing>
          <wp:inline distT="0" distB="0" distL="0" distR="0">
            <wp:extent cx="100330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6315"/>
                    </a:xfrm>
                    <a:prstGeom prst="rect">
                      <a:avLst/>
                    </a:prstGeom>
                    <a:noFill/>
                  </pic:spPr>
                </pic:pic>
              </a:graphicData>
            </a:graphic>
          </wp:inline>
        </w:drawing>
      </w:r>
    </w:p>
    <w:p>
      <w:pPr>
        <w:pStyle w:val="Heading"/>
        <w:ind w:hanging="540" w:start="540" w:end="0"/>
        <w:rPr/>
      </w:pPr>
      <w:r>
        <w:rPr/>
      </w:r>
    </w:p>
    <w:tbl>
      <w:tblPr>
        <w:tblW w:w="10975" w:type="dxa"/>
        <w:jc w:val="start"/>
        <w:tblInd w:w="0" w:type="dxa"/>
        <w:tblLayout w:type="fixed"/>
        <w:tblCellMar>
          <w:top w:w="0" w:type="dxa"/>
          <w:start w:w="0" w:type="dxa"/>
          <w:bottom w:w="0" w:type="dxa"/>
          <w:end w:w="0" w:type="dxa"/>
        </w:tblCellMar>
      </w:tblPr>
      <w:tblGrid>
        <w:gridCol w:w="92"/>
        <w:gridCol w:w="708"/>
        <w:gridCol w:w="10"/>
        <w:gridCol w:w="6210"/>
        <w:gridCol w:w="990"/>
        <w:gridCol w:w="2965"/>
      </w:tblGrid>
      <w:tr>
        <w:trPr>
          <w:trHeight w:val="297" w:hRule="exact"/>
        </w:trPr>
        <w:tc>
          <w:tcPr>
            <w:tcW w:w="92" w:type="dxa"/>
            <w:tcBorders/>
          </w:tcPr>
          <w:p>
            <w:pPr>
              <w:pStyle w:val="TableHeading"/>
              <w:rPr/>
            </w:pPr>
            <w:r>
              <w:rPr/>
            </w:r>
          </w:p>
        </w:tc>
        <w:tc>
          <w:tcPr>
            <w:tcW w:w="708" w:type="dxa"/>
            <w:tcBorders/>
            <w:tcMar>
              <w:start w:w="108" w:type="dxa"/>
              <w:end w:w="108" w:type="dxa"/>
            </w:tcMar>
          </w:tcPr>
          <w:p>
            <w:pPr>
              <w:pStyle w:val="Normal"/>
              <w:ind w:hanging="540" w:start="540" w:end="0"/>
              <w:jc w:val="end"/>
              <w:rPr>
                <w:sz w:val="16"/>
              </w:rPr>
            </w:pPr>
            <w:r>
              <w:rPr>
                <w:sz w:val="16"/>
              </w:rPr>
              <w:t>To:</w:t>
            </w:r>
          </w:p>
        </w:tc>
        <w:tc>
          <w:tcPr>
            <w:tcW w:w="6220" w:type="dxa"/>
            <w:gridSpan w:val="2"/>
            <w:tcBorders/>
            <w:tcMar>
              <w:start w:w="108" w:type="dxa"/>
              <w:end w:w="108" w:type="dxa"/>
            </w:tcMar>
          </w:tcPr>
          <w:p>
            <w:pPr>
              <w:pStyle w:val="To"/>
              <w:ind w:hanging="540" w:start="540" w:end="0"/>
              <w:rPr/>
            </w:pPr>
            <w:r>
              <w:rPr/>
              <w:t>Jeff Skilling, Enron Corp. President &amp; Chief Operating Officer</w:t>
            </w:r>
          </w:p>
          <w:p>
            <w:pPr>
              <w:pStyle w:val="To"/>
              <w:ind w:hanging="540" w:start="540" w:end="0"/>
              <w:rPr/>
            </w:pPr>
            <w:r>
              <w:rPr/>
            </w:r>
          </w:p>
          <w:p>
            <w:pPr>
              <w:pStyle w:val="To"/>
              <w:ind w:hanging="540" w:start="540" w:end="0"/>
              <w:rPr/>
            </w:pPr>
            <w:r>
              <w:rPr/>
            </w:r>
          </w:p>
          <w:p>
            <w:pPr>
              <w:pStyle w:val="To"/>
              <w:ind w:hanging="540" w:start="540" w:end="0"/>
              <w:rPr/>
            </w:pPr>
            <w:r>
              <w:rPr/>
            </w:r>
          </w:p>
          <w:p>
            <w:pPr>
              <w:pStyle w:val="To"/>
              <w:ind w:hanging="540" w:start="540" w:end="0"/>
              <w:rPr>
                <w:rFonts w:eastAsia="Arial"/>
              </w:rPr>
            </w:pPr>
            <w:r>
              <w:rPr>
                <w:rFonts w:eastAsia="Arial"/>
              </w:rPr>
              <w:t xml:space="preserve"> </w:t>
            </w:r>
          </w:p>
        </w:tc>
        <w:tc>
          <w:tcPr>
            <w:tcW w:w="990" w:type="dxa"/>
            <w:tcBorders/>
            <w:tcMar>
              <w:start w:w="108" w:type="dxa"/>
              <w:end w:w="108" w:type="dxa"/>
            </w:tcMar>
          </w:tcPr>
          <w:p>
            <w:pPr>
              <w:pStyle w:val="Normal"/>
              <w:snapToGrid w:val="false"/>
              <w:ind w:hanging="540" w:start="540" w:end="0"/>
              <w:rPr/>
            </w:pPr>
            <w:r>
              <w:rPr/>
            </w:r>
          </w:p>
        </w:tc>
        <w:tc>
          <w:tcPr>
            <w:tcW w:w="2965" w:type="dxa"/>
            <w:tcBorders/>
            <w:tcMar>
              <w:start w:w="108" w:type="dxa"/>
              <w:end w:w="108" w:type="dxa"/>
            </w:tcMar>
          </w:tcPr>
          <w:p>
            <w:pPr>
              <w:pStyle w:val="Normal"/>
              <w:snapToGrid w:val="false"/>
              <w:ind w:hanging="540" w:start="540" w:end="0"/>
              <w:rPr/>
            </w:pPr>
            <w:r>
              <w:rPr/>
            </w:r>
          </w:p>
        </w:tc>
      </w:tr>
      <w:tr>
        <w:trPr>
          <w:trHeight w:val="360"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220" w:type="dxa"/>
            <w:gridSpan w:val="2"/>
            <w:tcBorders/>
            <w:tcMar>
              <w:start w:w="108" w:type="dxa"/>
              <w:end w:w="108" w:type="dxa"/>
            </w:tcMar>
          </w:tcPr>
          <w:p>
            <w:pPr>
              <w:pStyle w:val="Subject"/>
              <w:tabs>
                <w:tab w:val="left" w:pos="540" w:leader="none"/>
              </w:tabs>
              <w:ind w:hanging="540" w:start="540" w:end="-553"/>
              <w:rPr/>
            </w:pPr>
            <w:r>
              <w:rPr/>
              <w:t>Rick Buy, Enron Corp. Executive Vice President &amp; Chief Risk Officer</w:t>
            </w:r>
          </w:p>
        </w:tc>
        <w:tc>
          <w:tcPr>
            <w:tcW w:w="990" w:type="dxa"/>
            <w:tcBorders/>
            <w:tcMar>
              <w:start w:w="108" w:type="dxa"/>
              <w:end w:w="108" w:type="dxa"/>
            </w:tcMar>
          </w:tcPr>
          <w:p>
            <w:pPr>
              <w:pStyle w:val="Normal"/>
              <w:snapToGrid w:val="false"/>
              <w:ind w:hanging="540" w:start="540" w:end="0"/>
              <w:rPr>
                <w:sz w:val="18"/>
              </w:rPr>
            </w:pPr>
            <w:r>
              <w:rPr>
                <w:sz w:val="18"/>
              </w:rPr>
            </w:r>
          </w:p>
        </w:tc>
        <w:tc>
          <w:tcPr>
            <w:tcW w:w="2965" w:type="dxa"/>
            <w:tcBorders/>
            <w:tcMar>
              <w:start w:w="108" w:type="dxa"/>
              <w:end w:w="108" w:type="dxa"/>
            </w:tcMar>
          </w:tcPr>
          <w:p>
            <w:pPr>
              <w:pStyle w:val="Normal"/>
              <w:snapToGrid w:val="false"/>
              <w:ind w:hanging="540" w:start="540" w:end="0"/>
              <w:rPr>
                <w:sz w:val="18"/>
              </w:rPr>
            </w:pPr>
            <w:r>
              <w:rPr>
                <w:sz w:val="18"/>
              </w:rPr>
            </w:r>
          </w:p>
        </w:tc>
      </w:tr>
      <w:tr>
        <w:trPr>
          <w:trHeight w:val="300" w:hRule="exact"/>
        </w:trPr>
        <w:tc>
          <w:tcPr>
            <w:tcW w:w="92" w:type="dxa"/>
            <w:tcBorders/>
          </w:tcPr>
          <w:p>
            <w:pPr>
              <w:pStyle w:val="Normal"/>
              <w:rPr>
                <w:sz w:val="18"/>
              </w:rPr>
            </w:pPr>
            <w:r>
              <w:rPr>
                <w:sz w:val="18"/>
              </w:rPr>
            </w:r>
          </w:p>
        </w:tc>
        <w:tc>
          <w:tcPr>
            <w:tcW w:w="708" w:type="dxa"/>
            <w:tcBorders/>
            <w:tcMar>
              <w:start w:w="108" w:type="dxa"/>
              <w:end w:w="108" w:type="dxa"/>
            </w:tcMar>
          </w:tcPr>
          <w:p>
            <w:pPr>
              <w:pStyle w:val="Normal"/>
              <w:ind w:hanging="540" w:start="540" w:end="0"/>
              <w:jc w:val="end"/>
              <w:rPr>
                <w:sz w:val="16"/>
              </w:rPr>
            </w:pPr>
            <w:r>
              <w:rPr>
                <w:sz w:val="16"/>
              </w:rPr>
              <w:t>From:</w:t>
            </w:r>
          </w:p>
        </w:tc>
        <w:tc>
          <w:tcPr>
            <w:tcW w:w="6220" w:type="dxa"/>
            <w:gridSpan w:val="2"/>
            <w:tcBorders/>
            <w:tcMar>
              <w:start w:w="108" w:type="dxa"/>
              <w:end w:w="108" w:type="dxa"/>
            </w:tcMar>
          </w:tcPr>
          <w:p>
            <w:pPr>
              <w:pStyle w:val="From"/>
              <w:ind w:hanging="540" w:start="540" w:end="0"/>
              <w:rPr/>
            </w:pPr>
            <w:r>
              <w:rPr/>
              <w:t xml:space="preserve">Kevin Hannon, President and Chief Operating Officer  </w:t>
            </w:r>
          </w:p>
        </w:tc>
        <w:tc>
          <w:tcPr>
            <w:tcW w:w="990" w:type="dxa"/>
            <w:tcBorders/>
            <w:tcMar>
              <w:start w:w="108" w:type="dxa"/>
              <w:end w:w="108" w:type="dxa"/>
            </w:tcMar>
          </w:tcPr>
          <w:p>
            <w:pPr>
              <w:pStyle w:val="Normal"/>
              <w:ind w:hanging="833" w:start="540" w:end="0"/>
              <w:jc w:val="end"/>
              <w:rPr>
                <w:sz w:val="16"/>
              </w:rPr>
            </w:pPr>
            <w:r>
              <w:rPr>
                <w:sz w:val="16"/>
              </w:rPr>
              <w:t>Department:</w:t>
            </w:r>
          </w:p>
        </w:tc>
        <w:tc>
          <w:tcPr>
            <w:tcW w:w="2965" w:type="dxa"/>
            <w:tcBorders/>
            <w:tcMar>
              <w:start w:w="108" w:type="dxa"/>
              <w:end w:w="108" w:type="dxa"/>
            </w:tcMar>
          </w:tcPr>
          <w:p>
            <w:pPr>
              <w:pStyle w:val="Department"/>
              <w:ind w:hanging="540" w:start="540" w:end="0"/>
              <w:rPr/>
            </w:pPr>
            <w:bookmarkStart w:id="0" w:name="From"/>
            <w:bookmarkEnd w:id="0"/>
            <w:r>
              <w:rPr/>
              <w:t>Enron Broadband Services</w:t>
            </w:r>
          </w:p>
        </w:tc>
      </w:tr>
      <w:tr>
        <w:trPr>
          <w:trHeight w:val="216"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220" w:type="dxa"/>
            <w:gridSpan w:val="2"/>
            <w:tcBorders/>
            <w:tcMar>
              <w:start w:w="108" w:type="dxa"/>
              <w:end w:w="108" w:type="dxa"/>
            </w:tcMar>
          </w:tcPr>
          <w:p>
            <w:pPr>
              <w:pStyle w:val="Normal"/>
              <w:snapToGrid w:val="false"/>
              <w:ind w:hanging="540" w:start="540" w:end="0"/>
              <w:rPr>
                <w:sz w:val="18"/>
              </w:rPr>
            </w:pPr>
            <w:r>
              <w:rPr>
                <w:sz w:val="18"/>
              </w:rPr>
            </w:r>
          </w:p>
        </w:tc>
        <w:tc>
          <w:tcPr>
            <w:tcW w:w="990" w:type="dxa"/>
            <w:tcBorders/>
            <w:tcMar>
              <w:start w:w="108" w:type="dxa"/>
              <w:end w:w="108" w:type="dxa"/>
            </w:tcMar>
          </w:tcPr>
          <w:p>
            <w:pPr>
              <w:pStyle w:val="Normal"/>
              <w:snapToGrid w:val="false"/>
              <w:ind w:hanging="540" w:start="540" w:end="0"/>
              <w:rPr>
                <w:sz w:val="18"/>
              </w:rPr>
            </w:pPr>
            <w:r>
              <w:rPr>
                <w:sz w:val="18"/>
              </w:rPr>
            </w:r>
          </w:p>
        </w:tc>
        <w:tc>
          <w:tcPr>
            <w:tcW w:w="2965" w:type="dxa"/>
            <w:tcBorders/>
            <w:tcMar>
              <w:start w:w="108" w:type="dxa"/>
              <w:end w:w="108" w:type="dxa"/>
            </w:tcMar>
          </w:tcPr>
          <w:p>
            <w:pPr>
              <w:pStyle w:val="Normal"/>
              <w:snapToGrid w:val="false"/>
              <w:ind w:hanging="540" w:start="540" w:end="0"/>
              <w:rPr>
                <w:sz w:val="18"/>
              </w:rPr>
            </w:pPr>
            <w:r>
              <w:rPr>
                <w:sz w:val="18"/>
              </w:rPr>
            </w:r>
          </w:p>
        </w:tc>
      </w:tr>
      <w:tr>
        <w:trPr>
          <w:trHeight w:val="360" w:hRule="exact"/>
        </w:trPr>
        <w:tc>
          <w:tcPr>
            <w:tcW w:w="810" w:type="dxa"/>
            <w:gridSpan w:val="3"/>
            <w:tcBorders>
              <w:bottom w:val="single" w:sz="12" w:space="0" w:color="000000"/>
            </w:tcBorders>
            <w:tcMar>
              <w:start w:w="108" w:type="dxa"/>
              <w:end w:w="108" w:type="dxa"/>
            </w:tcMar>
          </w:tcPr>
          <w:p>
            <w:pPr>
              <w:pStyle w:val="Normal"/>
              <w:ind w:hanging="540" w:start="540" w:end="0"/>
              <w:jc w:val="end"/>
              <w:rPr>
                <w:sz w:val="16"/>
              </w:rPr>
            </w:pPr>
            <w:r>
              <w:rPr>
                <w:sz w:val="16"/>
              </w:rPr>
              <w:t>Subject:</w:t>
            </w:r>
          </w:p>
        </w:tc>
        <w:tc>
          <w:tcPr>
            <w:tcW w:w="6210" w:type="dxa"/>
            <w:tcBorders>
              <w:bottom w:val="single" w:sz="12" w:space="0" w:color="000000"/>
            </w:tcBorders>
            <w:tcMar>
              <w:start w:w="108" w:type="dxa"/>
              <w:end w:w="108" w:type="dxa"/>
            </w:tcMar>
          </w:tcPr>
          <w:p>
            <w:pPr>
              <w:pStyle w:val="Subject"/>
              <w:ind w:hanging="540" w:start="540" w:end="0"/>
              <w:rPr/>
            </w:pPr>
            <w:r>
              <w:rPr/>
              <w:t xml:space="preserve">Head Traders for Enron Broadband Services </w:t>
              <w:br/>
            </w:r>
          </w:p>
          <w:p>
            <w:pPr>
              <w:pStyle w:val="Subject"/>
              <w:ind w:hanging="540" w:start="540" w:end="0"/>
              <w:rPr/>
            </w:pPr>
            <w:r>
              <w:rPr/>
            </w:r>
          </w:p>
        </w:tc>
        <w:tc>
          <w:tcPr>
            <w:tcW w:w="990" w:type="dxa"/>
            <w:tcBorders>
              <w:bottom w:val="single" w:sz="12" w:space="0" w:color="000000"/>
            </w:tcBorders>
            <w:tcMar>
              <w:start w:w="108" w:type="dxa"/>
              <w:end w:w="108" w:type="dxa"/>
            </w:tcMar>
          </w:tcPr>
          <w:p>
            <w:pPr>
              <w:pStyle w:val="Normal"/>
              <w:ind w:hanging="540" w:start="540" w:end="0"/>
              <w:jc w:val="end"/>
              <w:rPr>
                <w:sz w:val="16"/>
              </w:rPr>
            </w:pPr>
            <w:r>
              <w:rPr>
                <w:sz w:val="16"/>
              </w:rPr>
              <w:t>Date:</w:t>
            </w:r>
          </w:p>
        </w:tc>
        <w:tc>
          <w:tcPr>
            <w:tcW w:w="2965" w:type="dxa"/>
            <w:tcBorders>
              <w:bottom w:val="single" w:sz="12" w:space="0" w:color="000000"/>
            </w:tcBorders>
            <w:tcMar>
              <w:start w:w="108" w:type="dxa"/>
              <w:end w:w="108" w:type="dxa"/>
            </w:tcMar>
          </w:tcPr>
          <w:p>
            <w:pPr>
              <w:pStyle w:val="Date"/>
              <w:ind w:hanging="540" w:start="540" w:end="0"/>
              <w:rPr/>
            </w:pPr>
            <w:r>
              <w:rPr/>
              <w:t>December 12, 2000</w:t>
            </w:r>
          </w:p>
        </w:tc>
      </w:tr>
    </w:tbl>
    <w:p>
      <w:pPr>
        <w:pStyle w:val="Department"/>
        <w:ind w:start="180" w:end="810"/>
        <w:jc w:val="both"/>
        <w:rPr/>
      </w:pPr>
      <w:bookmarkStart w:id="1" w:name="StartOfMemo"/>
      <w:bookmarkEnd w:id="1"/>
      <w:r>
        <w:rPr/>
        <w:t>In accordance with the Enron Corp. Risk Management and Trading Policy (“Policy”) section V.E., I hereby submit for your approval and confirmation the Commodity Group Manager responsible for each commodity group and accountable for the Policy as it relates to these businesses, and authorized to approve the Daily Position Report in accordance with the Policy.</w:t>
      </w:r>
    </w:p>
    <w:p>
      <w:pPr>
        <w:pStyle w:val="Department"/>
        <w:ind w:hanging="540" w:start="540" w:end="0"/>
        <w:rPr/>
      </w:pPr>
      <w:r>
        <w:rPr/>
      </w:r>
    </w:p>
    <w:p>
      <w:pPr>
        <w:pStyle w:val="Department"/>
        <w:ind w:hanging="360" w:start="540" w:end="0"/>
        <w:rPr/>
      </w:pPr>
      <w:r>
        <w:rPr/>
        <w:t>They are listed as follows:</w:t>
      </w:r>
    </w:p>
    <w:p>
      <w:pPr>
        <w:pStyle w:val="Department"/>
        <w:rPr>
          <w:sz w:val="12"/>
        </w:rPr>
      </w:pPr>
      <w:r>
        <w:rPr>
          <w:sz w:val="12"/>
        </w:rPr>
      </w:r>
    </w:p>
    <w:p>
      <w:pPr>
        <w:pStyle w:val="Department"/>
        <w:tabs>
          <w:tab w:val="left" w:pos="-2160" w:leader="none"/>
          <w:tab w:val="left" w:pos="630" w:leader="none"/>
          <w:tab w:val="left" w:pos="4320" w:leader="none"/>
          <w:tab w:val="left" w:pos="7290" w:leader="none"/>
        </w:tabs>
        <w:rPr>
          <w:b/>
          <w:i/>
          <w:i/>
          <w:sz w:val="22"/>
        </w:rPr>
      </w:pPr>
      <w:r>
        <w:rPr>
          <w:b/>
          <w:i/>
          <w:sz w:val="22"/>
        </w:rPr>
        <w:tab/>
      </w:r>
      <w:r>
        <w:rPr>
          <w:b/>
          <w:i/>
          <w:sz w:val="22"/>
          <w:u w:val="single"/>
        </w:rPr>
        <w:t>Overall Trading Responsibility</w:t>
      </w:r>
      <w:r>
        <w:rPr>
          <w:b/>
          <w:i/>
          <w:sz w:val="22"/>
        </w:rPr>
        <w:tab/>
      </w:r>
      <w:r>
        <w:rPr>
          <w:b/>
          <w:i/>
          <w:sz w:val="22"/>
          <w:u w:val="single"/>
        </w:rPr>
        <w:t>Commodity  Group</w:t>
      </w:r>
      <w:r>
        <w:rPr>
          <w:b/>
          <w:i/>
          <w:sz w:val="22"/>
        </w:rPr>
        <w:tab/>
      </w:r>
      <w:r>
        <w:rPr>
          <w:b/>
          <w:i/>
          <w:sz w:val="22"/>
          <w:u w:val="single"/>
        </w:rPr>
        <w:t>Commodity Group Manager</w:t>
      </w:r>
    </w:p>
    <w:p>
      <w:pPr>
        <w:pStyle w:val="Department"/>
        <w:tabs>
          <w:tab w:val="left" w:pos="-2160" w:leader="none"/>
          <w:tab w:val="left" w:pos="630" w:leader="none"/>
          <w:tab w:val="left" w:pos="4320" w:leader="none"/>
          <w:tab w:val="left" w:pos="7290" w:leader="none"/>
        </w:tabs>
        <w:rPr>
          <w:b/>
          <w:i/>
          <w:i/>
          <w:sz w:val="12"/>
        </w:rPr>
      </w:pPr>
      <w:r>
        <w:rPr>
          <w:b/>
          <w:i/>
          <w:sz w:val="12"/>
        </w:rPr>
      </w:r>
    </w:p>
    <w:p>
      <w:pPr>
        <w:pStyle w:val="Department"/>
        <w:tabs>
          <w:tab w:val="left" w:pos="-2160" w:leader="none"/>
          <w:tab w:val="left" w:pos="630" w:leader="none"/>
          <w:tab w:val="left" w:pos="4320" w:leader="none"/>
          <w:tab w:val="left" w:pos="7290" w:leader="none"/>
        </w:tabs>
        <w:rPr/>
      </w:pPr>
      <w:r>
        <w:rPr/>
        <w:tab/>
      </w:r>
    </w:p>
    <w:p>
      <w:pPr>
        <w:pStyle w:val="Department"/>
        <w:tabs>
          <w:tab w:val="left" w:pos="-2160" w:leader="none"/>
          <w:tab w:val="left" w:pos="630" w:leader="none"/>
          <w:tab w:val="left" w:pos="4320" w:leader="none"/>
          <w:tab w:val="left" w:pos="7290" w:leader="none"/>
        </w:tabs>
        <w:rPr/>
      </w:pPr>
      <w:r>
        <w:rPr/>
        <w:tab/>
        <w:t>James Fallon</w:t>
        <w:tab/>
        <w:t>Broadband</w:t>
        <w:tab/>
        <w:t>Tom Gros</w:t>
      </w:r>
    </w:p>
    <w:p>
      <w:pPr>
        <w:pStyle w:val="Department"/>
        <w:tabs>
          <w:tab w:val="left" w:pos="-2160" w:leader="none"/>
          <w:tab w:val="left" w:pos="630" w:leader="none"/>
          <w:tab w:val="left" w:pos="4320" w:leader="none"/>
          <w:tab w:val="left" w:pos="7290" w:leader="none"/>
        </w:tabs>
        <w:rPr/>
      </w:pPr>
      <w:r>
        <w:rPr/>
        <w:tab/>
        <w:tab/>
        <w:t>Advertising</w:t>
        <w:tab/>
        <w:t>Erik Simpson</w:t>
      </w:r>
    </w:p>
    <w:p>
      <w:pPr>
        <w:pStyle w:val="Department"/>
        <w:tabs>
          <w:tab w:val="left" w:pos="-2160" w:leader="none"/>
          <w:tab w:val="left" w:pos="630" w:leader="none"/>
          <w:tab w:val="left" w:pos="4320" w:leader="none"/>
          <w:tab w:val="left" w:pos="7290" w:leader="none"/>
        </w:tabs>
        <w:rPr/>
      </w:pPr>
      <w:r>
        <w:rPr/>
        <w:tab/>
        <w:tab/>
        <w:t>DRAM Chips</w:t>
        <w:tab/>
        <w:t>Michael Moulton, Steve Kim</w:t>
      </w:r>
    </w:p>
    <w:p>
      <w:pPr>
        <w:pStyle w:val="Department"/>
        <w:tabs>
          <w:tab w:val="left" w:pos="-2160" w:leader="none"/>
          <w:tab w:val="left" w:pos="630" w:leader="none"/>
          <w:tab w:val="left" w:pos="4320" w:leader="none"/>
          <w:tab w:val="left" w:pos="7290" w:leader="none"/>
        </w:tabs>
        <w:rPr/>
      </w:pPr>
      <w:r>
        <w:rPr/>
        <w:tab/>
        <w:tab/>
        <w:t xml:space="preserve"> </w:t>
      </w:r>
    </w:p>
    <w:p>
      <w:pPr>
        <w:pStyle w:val="Department"/>
        <w:tabs>
          <w:tab w:val="left" w:pos="-2160" w:leader="none"/>
          <w:tab w:val="left" w:pos="630" w:leader="none"/>
          <w:tab w:val="left" w:pos="3780" w:leader="none"/>
          <w:tab w:val="left" w:pos="4320" w:leader="none"/>
          <w:tab w:val="left" w:pos="7290" w:leader="none"/>
        </w:tabs>
        <w:rPr/>
      </w:pPr>
      <w:r>
        <w:rPr/>
        <w:tab/>
        <w:tab/>
      </w:r>
    </w:p>
    <w:p>
      <w:pPr>
        <w:pStyle w:val="Department"/>
        <w:tabs>
          <w:tab w:val="left" w:pos="-2160" w:leader="none"/>
          <w:tab w:val="left" w:pos="630" w:leader="none"/>
          <w:tab w:val="left" w:pos="4320" w:leader="none"/>
          <w:tab w:val="left" w:pos="7290" w:leader="none"/>
        </w:tabs>
        <w:rPr/>
      </w:pPr>
      <w:r>
        <w:rPr/>
        <w:tab/>
        <w:tab/>
      </w:r>
    </w:p>
    <w:p>
      <w:pPr>
        <w:pStyle w:val="Department"/>
        <w:tabs>
          <w:tab w:val="left" w:pos="-2160" w:leader="none"/>
          <w:tab w:val="left" w:pos="630" w:leader="none"/>
          <w:tab w:val="left" w:pos="4320" w:leader="none"/>
          <w:tab w:val="left" w:pos="7290" w:leader="none"/>
        </w:tabs>
        <w:rPr/>
      </w:pPr>
      <w:r>
        <w:rPr/>
        <w:tab/>
        <w:tab/>
        <w:t xml:space="preserve">       </w:t>
      </w:r>
      <w:r>
        <w:rPr>
          <w:sz w:val="18"/>
        </w:rPr>
        <w:tab/>
        <w:tab/>
      </w:r>
    </w:p>
    <w:p>
      <w:pPr>
        <w:pStyle w:val="Department"/>
        <w:tabs>
          <w:tab w:val="left" w:pos="-2160" w:leader="none"/>
          <w:tab w:val="left" w:pos="630" w:leader="none"/>
          <w:tab w:val="left" w:pos="3780" w:leader="none"/>
          <w:tab w:val="left" w:pos="4320" w:leader="none"/>
          <w:tab w:val="left" w:pos="7290" w:leader="none"/>
        </w:tabs>
        <w:rPr>
          <w:b/>
          <w:sz w:val="18"/>
          <w:u w:val="single"/>
        </w:rPr>
      </w:pPr>
      <w:r>
        <w:rPr>
          <w:b/>
          <w:sz w:val="18"/>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sz w:val="12"/>
        </w:rPr>
      </w:pPr>
      <w:r>
        <w:rPr>
          <w:sz w:val="12"/>
        </w:rPr>
        <w:tab/>
        <w:tab/>
        <w:tab/>
      </w:r>
    </w:p>
    <w:p>
      <w:pPr>
        <w:pStyle w:val="Department"/>
        <w:tabs>
          <w:tab w:val="left" w:pos="-2160" w:leader="none"/>
          <w:tab w:val="left" w:pos="630" w:leader="none"/>
          <w:tab w:val="left" w:pos="3780" w:leader="none"/>
          <w:tab w:val="left" w:pos="4320" w:leader="none"/>
          <w:tab w:val="left" w:pos="7290" w:leader="none"/>
        </w:tabs>
        <w:rPr/>
      </w:pPr>
      <w:r>
        <w:rPr/>
        <w:tab/>
        <w:tab/>
      </w:r>
    </w:p>
    <w:p>
      <w:pPr>
        <w:pStyle w:val="Department"/>
        <w:tabs>
          <w:tab w:val="left" w:pos="630" w:leader="none"/>
          <w:tab w:val="left" w:pos="1080" w:leader="none"/>
          <w:tab w:val="left" w:pos="3780" w:leader="none"/>
        </w:tabs>
        <w:rPr/>
      </w:pPr>
      <w:r>
        <w:rPr/>
        <w:tab/>
        <w:t xml:space="preserve">Approved:  _____________________________________  </w:t>
        <w:tab/>
        <w:tab/>
        <w:t>Date: ________</w:t>
      </w:r>
      <w:r>
        <w:rPr>
          <w:sz w:val="18"/>
        </w:rPr>
        <w:tab/>
        <w:tab/>
        <w:tab/>
        <w:tab/>
        <w:t xml:space="preserve">                           </w:t>
      </w:r>
    </w:p>
    <w:p>
      <w:pPr>
        <w:pStyle w:val="Department"/>
        <w:tabs>
          <w:tab w:val="left" w:pos="630" w:leader="none"/>
          <w:tab w:val="left" w:pos="1080" w:leader="none"/>
          <w:tab w:val="left" w:pos="3780" w:leader="none"/>
        </w:tabs>
        <w:rPr>
          <w:sz w:val="18"/>
        </w:rPr>
      </w:pPr>
      <w:r>
        <w:rPr>
          <w:rFonts w:eastAsia="Arial"/>
          <w:sz w:val="18"/>
        </w:rPr>
        <w:t xml:space="preserve">                  </w:t>
      </w:r>
      <w:r>
        <w:rPr>
          <w:sz w:val="18"/>
        </w:rPr>
        <w:tab/>
        <w:t xml:space="preserve">             Jeff Skilling</w:t>
      </w:r>
    </w:p>
    <w:p>
      <w:pPr>
        <w:pStyle w:val="Department"/>
        <w:tabs>
          <w:tab w:val="left" w:pos="630" w:leader="none"/>
          <w:tab w:val="left" w:pos="3780" w:leader="none"/>
        </w:tabs>
        <w:rPr>
          <w:sz w:val="8"/>
        </w:rPr>
      </w:pPr>
      <w:r>
        <w:rPr>
          <w:sz w:val="8"/>
        </w:rPr>
      </w:r>
    </w:p>
    <w:p>
      <w:pPr>
        <w:pStyle w:val="Department"/>
        <w:tabs>
          <w:tab w:val="left" w:pos="1080" w:leader="none"/>
          <w:tab w:val="left" w:pos="3780" w:leader="none"/>
        </w:tabs>
        <w:ind w:start="630" w:end="0"/>
        <w:rPr/>
      </w:pPr>
      <w:r>
        <w:rPr/>
        <w:t xml:space="preserve">Approved:  _____________________________________  </w:t>
        <w:tab/>
        <w:tab/>
        <w:t>Date: ________</w:t>
        <w:tab/>
        <w:tab/>
        <w:tab/>
        <w:tab/>
        <w:t xml:space="preserve">                           </w:t>
      </w:r>
    </w:p>
    <w:p>
      <w:pPr>
        <w:pStyle w:val="Department"/>
        <w:tabs>
          <w:tab w:val="left" w:pos="630" w:leader="none"/>
          <w:tab w:val="left" w:pos="1080" w:leader="none"/>
          <w:tab w:val="left" w:pos="3780" w:leader="none"/>
        </w:tabs>
        <w:rPr/>
      </w:pPr>
      <w:r>
        <w:rPr>
          <w:rFonts w:eastAsia="Arial"/>
        </w:rPr>
        <w:t xml:space="preserve">      </w:t>
      </w:r>
      <w:r>
        <w:rPr/>
        <w:tab/>
      </w:r>
      <w:r>
        <w:rPr>
          <w:sz w:val="18"/>
        </w:rPr>
        <w:t xml:space="preserve">                      Rick Buy</w:t>
      </w:r>
    </w:p>
    <w:sectPr>
      <w:headerReference w:type="default" r:id="rId3"/>
      <w:headerReference w:type="first" r:id="rId4"/>
      <w:footerReference w:type="default" r:id="rId5"/>
      <w:footerReference w:type="first" r:id="rId6"/>
      <w:type w:val="nextPage"/>
      <w:pgSz w:w="12240" w:h="15840"/>
      <w:pgMar w:left="360" w:right="270" w:gutter="0" w:header="720" w:top="776" w:footer="345" w:bottom="4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rFonts w:eastAsia="Arial"/>
        <w:b/>
        <w:sz w:val="16"/>
      </w:rPr>
      <w:t xml:space="preserve">     </w:t>
    </w:r>
    <w:r>
      <w:rPr>
        <w:b/>
        <w:sz w:val="16"/>
      </w:rPr>
      <w:t>Respect</w:t>
      <w:tab/>
      <w:t xml:space="preserve">            Integrity</w:t>
      <w:tab/>
      <w:t xml:space="preserve">               Communication</w:t>
      <w:tab/>
      <w:t xml:space="preserve">                                                            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2000-12-13T02:38:00Z</dcterms:created>
  <dc:creator>Jeff Ford</dc:creator>
  <dc:description/>
  <dc:language>en-CA</dc:language>
  <cp:lastModifiedBy>cschult</cp:lastModifiedBy>
  <cp:lastPrinted>2000-11-30T07:46:00Z</cp:lastPrinted>
  <dcterms:modified xsi:type="dcterms:W3CDTF">2000-12-13T02:38:00Z</dcterms:modified>
  <cp:revision>2</cp:revision>
  <dc:subject>Authorized Traders_</dc:subject>
  <dc:title>Eron Capital &amp; Trade Resources Memo</dc:title>
</cp:coreProperties>
</file>