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Columbia Gas of Pennsylvania, Inc.</w:t>
      </w:r>
    </w:p>
    <w:p>
      <w:pPr>
        <w:pStyle w:val="Normal"/>
        <w:jc w:val="center"/>
        <w:rPr>
          <w:b/>
          <w:sz w:val="28"/>
        </w:rPr>
      </w:pPr>
      <w:r>
        <w:rPr>
          <w:b/>
          <w:sz w:val="28"/>
        </w:rPr>
        <w:t>New Services and Options</w:t>
      </w:r>
    </w:p>
    <w:p>
      <w:pPr>
        <w:pStyle w:val="Heading"/>
        <w:rPr>
          <w:b w:val="false"/>
          <w:sz w:val="28"/>
        </w:rPr>
      </w:pPr>
      <w:r>
        <w:rPr>
          <w:b w:val="false"/>
          <w:sz w:val="28"/>
        </w:rPr>
        <w:t>Effective October 22, 2001</w:t>
      </w:r>
    </w:p>
    <w:p>
      <w:pPr>
        <w:pStyle w:val="Heading"/>
        <w:rPr>
          <w:b w:val="false"/>
          <w:sz w:val="28"/>
        </w:rPr>
      </w:pPr>
      <w:r>
        <w:rPr>
          <w:b w:val="false"/>
          <w:sz w:val="28"/>
        </w:rPr>
      </w:r>
    </w:p>
    <w:p>
      <w:pPr>
        <w:pStyle w:val="Heading"/>
        <w:rPr>
          <w:sz w:val="28"/>
          <w:u w:val="single"/>
        </w:rPr>
      </w:pPr>
      <w:r>
        <w:rPr>
          <w:sz w:val="28"/>
          <w:u w:val="single"/>
        </w:rPr>
        <w:t>SUMMARY</w:t>
      </w:r>
    </w:p>
    <w:p>
      <w:pPr>
        <w:pStyle w:val="Heading"/>
        <w:jc w:val="start"/>
        <w:rPr>
          <w:sz w:val="24"/>
          <w:u w:val="single"/>
        </w:rPr>
      </w:pPr>
      <w:r>
        <w:rPr>
          <w:sz w:val="24"/>
          <w:u w:val="single"/>
        </w:rPr>
      </w:r>
    </w:p>
    <w:p>
      <w:pPr>
        <w:pStyle w:val="Heading"/>
        <w:ind w:hanging="2160" w:start="2160" w:end="0"/>
        <w:jc w:val="start"/>
        <w:rPr/>
      </w:pPr>
      <w:r>
        <w:rPr>
          <w:sz w:val="24"/>
        </w:rPr>
        <w:t xml:space="preserve">*** IMPORTANT: </w:t>
        <w:tab/>
        <w:t xml:space="preserve">The attached ‘Service Election Forms’ are to be completed and faxed to GDS Department @ (412) 572-7161 </w:t>
      </w:r>
      <w:r>
        <w:rPr>
          <w:sz w:val="24"/>
          <w:u w:val="single"/>
        </w:rPr>
        <w:t>by November 1, 2001, for Form 1</w:t>
      </w:r>
      <w:r>
        <w:rPr>
          <w:sz w:val="24"/>
        </w:rPr>
        <w:t xml:space="preserve"> and </w:t>
      </w:r>
      <w:r>
        <w:rPr>
          <w:sz w:val="24"/>
          <w:u w:val="single"/>
        </w:rPr>
        <w:t>by November 12, 2001 for Form 2</w:t>
      </w:r>
      <w:r>
        <w:rPr>
          <w:sz w:val="24"/>
        </w:rPr>
        <w:t>.</w:t>
      </w:r>
    </w:p>
    <w:p>
      <w:pPr>
        <w:pStyle w:val="Heading"/>
        <w:jc w:val="start"/>
        <w:rPr>
          <w:sz w:val="24"/>
        </w:rPr>
      </w:pPr>
      <w:r>
        <w:rPr>
          <w:sz w:val="24"/>
        </w:rPr>
      </w:r>
    </w:p>
    <w:p>
      <w:pPr>
        <w:pStyle w:val="Heading"/>
        <w:jc w:val="start"/>
        <w:rPr>
          <w:sz w:val="24"/>
          <w:u w:val="single"/>
        </w:rPr>
      </w:pPr>
      <w:r>
        <w:rPr>
          <w:sz w:val="24"/>
          <w:u w:val="single"/>
        </w:rPr>
        <w:t>TIMELINE</w:t>
      </w:r>
    </w:p>
    <w:p>
      <w:pPr>
        <w:pStyle w:val="Heading"/>
        <w:jc w:val="start"/>
        <w:rPr>
          <w:b w:val="false"/>
          <w:sz w:val="24"/>
          <w:u w:val="single"/>
        </w:rPr>
      </w:pPr>
      <w:r>
        <w:rPr>
          <w:b w:val="false"/>
          <w:sz w:val="24"/>
          <w:u w:val="single"/>
        </w:rPr>
      </w:r>
    </w:p>
    <w:p>
      <w:pPr>
        <w:pStyle w:val="Heading"/>
        <w:ind w:hanging="2160" w:start="2160" w:end="0"/>
        <w:jc w:val="start"/>
        <w:rPr>
          <w:b w:val="false"/>
          <w:sz w:val="24"/>
        </w:rPr>
      </w:pPr>
      <w:r>
        <w:rPr>
          <w:b w:val="false"/>
          <w:sz w:val="24"/>
        </w:rPr>
        <w:t>August 22, 2001</w:t>
        <w:tab/>
        <w:t>Columbia Gas of Pa (CPA) files tariff changes as a result of the ongoing meetings with the Stakeholder Group.</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October 12, 2001</w:t>
        <w:tab/>
        <w:t>PA PUC approves CPA tariff filing of August 22, 2001 to be effective October 22, 2001, subject to an Administrative Law Judge Recommendation.</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October 22, 2001</w:t>
        <w:tab/>
        <w:t>CPA Tariff changes become effective.</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November 1, 2001</w:t>
        <w:tab/>
        <w:t>Election of Flow Order Management Service and Chart-Metered, Daily-Read Customers Choosing to be Governed by OFO Rules.</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November 12, 2001</w:t>
        <w:tab/>
        <w:t>Election of Elective Balancing Service (EBS) Option.  Option 1 is default option if no election is made.</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November 15, 2001</w:t>
        <w:tab/>
        <w:t>CPA will post final rates for EBS Option 1 by close of business.  If final rates exceed the estimated rates herein by 20%, customers and NGSs who have elected Option 1 may change their election by submitting a change to CPA in writing by the close of business on November 20, 2001.</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December 1, 2001</w:t>
        <w:tab/>
        <w:t>CPA will begin providing EBS under the elected option.</w:t>
      </w:r>
    </w:p>
    <w:p>
      <w:pPr>
        <w:pStyle w:val="Heading"/>
        <w:ind w:hanging="2160" w:start="2160" w:end="0"/>
        <w:jc w:val="start"/>
        <w:rPr>
          <w:b w:val="false"/>
          <w:sz w:val="24"/>
        </w:rPr>
      </w:pPr>
      <w:r>
        <w:rPr>
          <w:b w:val="false"/>
          <w:sz w:val="24"/>
        </w:rPr>
      </w:r>
    </w:p>
    <w:p>
      <w:pPr>
        <w:pStyle w:val="Heading"/>
        <w:ind w:hanging="2160" w:start="2160" w:end="0"/>
        <w:jc w:val="start"/>
        <w:rPr>
          <w:b w:val="false"/>
          <w:sz w:val="24"/>
        </w:rPr>
      </w:pPr>
      <w:r>
        <w:rPr>
          <w:b w:val="false"/>
          <w:sz w:val="24"/>
        </w:rPr>
        <w:t>A summary of the CPA tariff changes (new services and options) follows:</w:t>
      </w:r>
    </w:p>
    <w:p>
      <w:pPr>
        <w:pStyle w:val="Heading"/>
        <w:jc w:val="start"/>
        <w:rPr>
          <w:b w:val="false"/>
          <w:sz w:val="24"/>
          <w:u w:val="single"/>
        </w:rPr>
      </w:pPr>
      <w:r>
        <w:rPr>
          <w:b w:val="false"/>
          <w:sz w:val="24"/>
          <w:u w:val="single"/>
        </w:rPr>
      </w:r>
    </w:p>
    <w:p>
      <w:pPr>
        <w:pStyle w:val="Heading"/>
        <w:jc w:val="start"/>
        <w:rPr>
          <w:sz w:val="24"/>
          <w:u w:val="single"/>
        </w:rPr>
      </w:pPr>
      <w:r>
        <w:rPr>
          <w:sz w:val="24"/>
          <w:u w:val="single"/>
        </w:rPr>
        <w:t>Elective Balancing Services (EBS)</w:t>
      </w:r>
    </w:p>
    <w:p>
      <w:pPr>
        <w:pStyle w:val="Heading"/>
        <w:jc w:val="start"/>
        <w:rPr>
          <w:b w:val="false"/>
          <w:sz w:val="24"/>
          <w:u w:val="single"/>
        </w:rPr>
      </w:pPr>
      <w:r>
        <w:rPr>
          <w:b w:val="false"/>
          <w:sz w:val="24"/>
          <w:u w:val="single"/>
        </w:rPr>
      </w:r>
    </w:p>
    <w:p>
      <w:pPr>
        <w:pStyle w:val="Heading"/>
        <w:numPr>
          <w:ilvl w:val="0"/>
          <w:numId w:val="4"/>
        </w:numPr>
        <w:jc w:val="start"/>
        <w:rPr>
          <w:b w:val="false"/>
          <w:sz w:val="24"/>
        </w:rPr>
      </w:pPr>
      <w:r>
        <w:rPr>
          <w:b w:val="false"/>
          <w:sz w:val="24"/>
        </w:rPr>
        <w:t>Previously, CPA’s balancing service for GDS customers have been an interruptible service, meaning GDS customers were utilizing CPA’s core market assets on an interruptible basis.  The price, included in the customer’s GDS rate, for this service was:</w:t>
      </w:r>
    </w:p>
    <w:p>
      <w:pPr>
        <w:pStyle w:val="Heading"/>
        <w:numPr>
          <w:ilvl w:val="0"/>
          <w:numId w:val="4"/>
        </w:numPr>
        <w:tabs>
          <w:tab w:val="clear" w:pos="720"/>
          <w:tab w:val="left" w:pos="1080" w:leader="none"/>
        </w:tabs>
        <w:ind w:hanging="360" w:start="1080" w:end="0"/>
        <w:jc w:val="start"/>
        <w:rPr>
          <w:b w:val="false"/>
          <w:sz w:val="24"/>
        </w:rPr>
      </w:pPr>
      <w:r>
        <w:rPr>
          <w:b w:val="false"/>
          <w:sz w:val="24"/>
        </w:rPr>
        <w:t>For SGS and SDS customers:</w:t>
        <w:tab/>
        <w:t>$0.1109/MCF</w:t>
      </w:r>
    </w:p>
    <w:p>
      <w:pPr>
        <w:pStyle w:val="Heading"/>
        <w:numPr>
          <w:ilvl w:val="0"/>
          <w:numId w:val="4"/>
        </w:numPr>
        <w:tabs>
          <w:tab w:val="clear" w:pos="720"/>
          <w:tab w:val="left" w:pos="1080" w:leader="none"/>
        </w:tabs>
        <w:ind w:hanging="360" w:start="1080" w:end="0"/>
        <w:jc w:val="start"/>
        <w:rPr>
          <w:b w:val="false"/>
          <w:sz w:val="24"/>
        </w:rPr>
      </w:pPr>
      <w:r>
        <w:rPr>
          <w:b w:val="false"/>
          <w:sz w:val="24"/>
        </w:rPr>
        <w:t>For LDS and MLS customers:</w:t>
        <w:tab/>
        <w:t>$0.0358/MCF</w:t>
      </w:r>
    </w:p>
    <w:p>
      <w:pPr>
        <w:pStyle w:val="Heading"/>
        <w:numPr>
          <w:ilvl w:val="0"/>
          <w:numId w:val="3"/>
        </w:numPr>
        <w:jc w:val="start"/>
        <w:rPr>
          <w:b w:val="false"/>
          <w:sz w:val="24"/>
        </w:rPr>
      </w:pPr>
      <w:r>
        <w:rPr>
          <w:b w:val="false"/>
          <w:sz w:val="24"/>
        </w:rPr>
        <w:t>Effective October 22, 2001, customers will have three (3) options to choose from the Elective Balancing Services.  Previous interruptible balancing service will no longer be available and the appropriate fees will be removed from the customer rates.  The options are as follows:</w:t>
      </w:r>
    </w:p>
    <w:p>
      <w:pPr>
        <w:pStyle w:val="Heading"/>
        <w:numPr>
          <w:ilvl w:val="0"/>
          <w:numId w:val="3"/>
        </w:numPr>
        <w:tabs>
          <w:tab w:val="clear" w:pos="720"/>
        </w:tabs>
        <w:ind w:hanging="360" w:start="1080" w:end="0"/>
        <w:jc w:val="start"/>
        <w:rPr>
          <w:b w:val="false"/>
          <w:sz w:val="24"/>
        </w:rPr>
      </w:pPr>
      <w:r>
        <w:rPr>
          <w:b w:val="false"/>
          <w:sz w:val="24"/>
        </w:rPr>
        <w:t>Option 1: Full Balancing Service (default if no EBS election is made)</w:t>
      </w:r>
    </w:p>
    <w:p>
      <w:pPr>
        <w:pStyle w:val="Heading"/>
        <w:numPr>
          <w:ilvl w:val="0"/>
          <w:numId w:val="3"/>
        </w:numPr>
        <w:tabs>
          <w:tab w:val="clear" w:pos="720"/>
        </w:tabs>
        <w:ind w:hanging="360" w:start="1440" w:end="0"/>
        <w:jc w:val="start"/>
        <w:rPr>
          <w:b w:val="false"/>
          <w:sz w:val="24"/>
        </w:rPr>
      </w:pPr>
      <w:r>
        <w:rPr>
          <w:b w:val="false"/>
          <w:sz w:val="24"/>
        </w:rPr>
        <w:t>Customer will continue to have a month-to-month bank with tolerances as they were previously (5% of annual volumes for LDS and MLS customers and 10% of annual volumes for SGS and SDS customers, except for October at 5%).</w:t>
      </w:r>
    </w:p>
    <w:p>
      <w:pPr>
        <w:pStyle w:val="Heading"/>
        <w:numPr>
          <w:ilvl w:val="0"/>
          <w:numId w:val="3"/>
        </w:numPr>
        <w:tabs>
          <w:tab w:val="clear" w:pos="720"/>
        </w:tabs>
        <w:ind w:hanging="360" w:start="1440" w:end="0"/>
        <w:jc w:val="start"/>
        <w:rPr>
          <w:b w:val="false"/>
          <w:sz w:val="24"/>
        </w:rPr>
      </w:pPr>
      <w:r>
        <w:rPr>
          <w:b w:val="false"/>
          <w:sz w:val="24"/>
        </w:rPr>
        <w:t>Customer will have this bank available to them EVEN during OFO/OMO periods of at least 5% of MDQ during cold weather and at least 2.5% of MDQ during warm weather.  Additional bank may be available on an interruptible basis.</w:t>
      </w:r>
    </w:p>
    <w:p>
      <w:pPr>
        <w:pStyle w:val="Heading"/>
        <w:numPr>
          <w:ilvl w:val="0"/>
          <w:numId w:val="3"/>
        </w:numPr>
        <w:tabs>
          <w:tab w:val="clear" w:pos="720"/>
        </w:tabs>
        <w:ind w:hanging="360" w:start="1440" w:end="0"/>
        <w:jc w:val="start"/>
        <w:rPr>
          <w:b w:val="false"/>
          <w:sz w:val="24"/>
        </w:rPr>
      </w:pPr>
      <w:r>
        <w:rPr>
          <w:b w:val="false"/>
          <w:sz w:val="24"/>
        </w:rPr>
        <w:t>Any monthly imbalances not covered by customer’s bank will be cashed out.</w:t>
      </w:r>
    </w:p>
    <w:p>
      <w:pPr>
        <w:pStyle w:val="Heading"/>
        <w:numPr>
          <w:ilvl w:val="0"/>
          <w:numId w:val="3"/>
        </w:numPr>
        <w:tabs>
          <w:tab w:val="clear" w:pos="720"/>
        </w:tabs>
        <w:ind w:hanging="360" w:start="1440" w:end="0"/>
        <w:jc w:val="start"/>
        <w:rPr>
          <w:b w:val="false"/>
          <w:sz w:val="24"/>
        </w:rPr>
      </w:pPr>
      <w:r>
        <w:rPr>
          <w:b w:val="false"/>
          <w:sz w:val="24"/>
        </w:rPr>
        <w:t>Price will be determined annually.  Rates beginning December 1, 2001 will be no higher than the following:</w:t>
      </w:r>
    </w:p>
    <w:p>
      <w:pPr>
        <w:pStyle w:val="Heading"/>
        <w:numPr>
          <w:ilvl w:val="0"/>
          <w:numId w:val="3"/>
        </w:numPr>
        <w:tabs>
          <w:tab w:val="clear" w:pos="720"/>
        </w:tabs>
        <w:ind w:hanging="360" w:start="1800" w:end="0"/>
        <w:jc w:val="start"/>
        <w:rPr>
          <w:b w:val="false"/>
          <w:sz w:val="24"/>
        </w:rPr>
      </w:pPr>
      <w:r>
        <w:rPr>
          <w:b w:val="false"/>
          <w:sz w:val="24"/>
        </w:rPr>
        <w:t>SGS and SDS Customers</w:t>
        <w:tab/>
        <w:tab/>
        <w:t>$0.20/MCF</w:t>
      </w:r>
    </w:p>
    <w:p>
      <w:pPr>
        <w:pStyle w:val="Heading"/>
        <w:numPr>
          <w:ilvl w:val="0"/>
          <w:numId w:val="3"/>
        </w:numPr>
        <w:tabs>
          <w:tab w:val="clear" w:pos="720"/>
        </w:tabs>
        <w:ind w:hanging="360" w:start="1800" w:end="0"/>
        <w:jc w:val="start"/>
        <w:rPr>
          <w:b w:val="false"/>
          <w:sz w:val="24"/>
        </w:rPr>
      </w:pPr>
      <w:r>
        <w:rPr>
          <w:b w:val="false"/>
          <w:sz w:val="24"/>
        </w:rPr>
        <w:t>LDS and MLS Customers</w:t>
        <w:tab/>
        <w:tab/>
        <w:t>$0.10/MCF</w:t>
      </w:r>
    </w:p>
    <w:p>
      <w:pPr>
        <w:pStyle w:val="Heading"/>
        <w:numPr>
          <w:ilvl w:val="0"/>
          <w:numId w:val="10"/>
        </w:numPr>
        <w:tabs>
          <w:tab w:val="clear" w:pos="720"/>
          <w:tab w:val="left" w:pos="1440" w:leader="none"/>
        </w:tabs>
        <w:ind w:hanging="360" w:start="1440" w:end="0"/>
        <w:jc w:val="start"/>
        <w:rPr>
          <w:b w:val="false"/>
          <w:sz w:val="24"/>
        </w:rPr>
      </w:pPr>
      <w:r>
        <w:rPr>
          <w:b w:val="false"/>
          <w:sz w:val="24"/>
        </w:rPr>
        <w:t>CPA is securing additional assets to provide for this service.  These assets, based upon the number of customers electing this service, are intended to limit the number of OFO/OMOs called.</w:t>
      </w:r>
    </w:p>
    <w:p>
      <w:pPr>
        <w:pStyle w:val="Heading"/>
        <w:numPr>
          <w:ilvl w:val="0"/>
          <w:numId w:val="8"/>
        </w:numPr>
        <w:tabs>
          <w:tab w:val="clear" w:pos="720"/>
          <w:tab w:val="left" w:pos="1080" w:leader="none"/>
          <w:tab w:val="left" w:pos="1140" w:leader="none"/>
        </w:tabs>
        <w:ind w:hanging="360" w:start="1080" w:end="0"/>
        <w:jc w:val="start"/>
        <w:rPr>
          <w:b w:val="false"/>
          <w:sz w:val="24"/>
        </w:rPr>
      </w:pPr>
      <w:r>
        <w:rPr>
          <w:b w:val="false"/>
          <w:sz w:val="24"/>
        </w:rPr>
        <w:t>Option 2: Monthly Cash Out</w:t>
      </w:r>
    </w:p>
    <w:p>
      <w:pPr>
        <w:pStyle w:val="Heading"/>
        <w:numPr>
          <w:ilvl w:val="0"/>
          <w:numId w:val="8"/>
        </w:numPr>
        <w:tabs>
          <w:tab w:val="clear" w:pos="720"/>
          <w:tab w:val="left" w:pos="1140" w:leader="none"/>
          <w:tab w:val="left" w:pos="1440" w:leader="none"/>
        </w:tabs>
        <w:ind w:hanging="360" w:start="1440" w:end="0"/>
        <w:jc w:val="start"/>
        <w:rPr>
          <w:b w:val="false"/>
          <w:sz w:val="24"/>
        </w:rPr>
      </w:pPr>
      <w:r>
        <w:rPr>
          <w:b w:val="false"/>
          <w:sz w:val="24"/>
        </w:rPr>
        <w:t>Customer will have a bank available for day-to-day balancing, but not for monthly balancing.  Any imbalances at the end of the month will be cashed out.</w:t>
      </w:r>
    </w:p>
    <w:p>
      <w:pPr>
        <w:pStyle w:val="Heading"/>
        <w:numPr>
          <w:ilvl w:val="0"/>
          <w:numId w:val="8"/>
        </w:numPr>
        <w:tabs>
          <w:tab w:val="clear" w:pos="720"/>
          <w:tab w:val="left" w:pos="1140" w:leader="none"/>
          <w:tab w:val="left" w:pos="1440" w:leader="none"/>
        </w:tabs>
        <w:ind w:hanging="360" w:start="1440" w:end="0"/>
        <w:jc w:val="start"/>
        <w:rPr>
          <w:b w:val="false"/>
          <w:sz w:val="24"/>
        </w:rPr>
      </w:pPr>
      <w:r>
        <w:rPr>
          <w:b w:val="false"/>
          <w:sz w:val="24"/>
        </w:rPr>
        <w:t>Price for this service is as follows:</w:t>
      </w:r>
    </w:p>
    <w:p>
      <w:pPr>
        <w:pStyle w:val="Heading"/>
        <w:numPr>
          <w:ilvl w:val="0"/>
          <w:numId w:val="8"/>
        </w:numPr>
        <w:tabs>
          <w:tab w:val="clear" w:pos="720"/>
          <w:tab w:val="left" w:pos="1440" w:leader="none"/>
          <w:tab w:val="left" w:pos="1500" w:leader="none"/>
        </w:tabs>
        <w:ind w:hanging="360" w:start="1800" w:end="0"/>
        <w:jc w:val="start"/>
        <w:rPr>
          <w:b w:val="false"/>
          <w:sz w:val="24"/>
        </w:rPr>
      </w:pPr>
      <w:r>
        <w:rPr>
          <w:b w:val="false"/>
          <w:sz w:val="24"/>
        </w:rPr>
        <w:t>SGS and SDS Customers</w:t>
        <w:tab/>
        <w:tab/>
        <w:t>$0.0748/MCF</w:t>
      </w:r>
    </w:p>
    <w:p>
      <w:pPr>
        <w:pStyle w:val="Heading"/>
        <w:numPr>
          <w:ilvl w:val="0"/>
          <w:numId w:val="8"/>
        </w:numPr>
        <w:tabs>
          <w:tab w:val="clear" w:pos="720"/>
          <w:tab w:val="left" w:pos="1440" w:leader="none"/>
          <w:tab w:val="left" w:pos="1500" w:leader="none"/>
        </w:tabs>
        <w:ind w:hanging="360" w:start="1800" w:end="0"/>
        <w:jc w:val="start"/>
        <w:rPr>
          <w:b w:val="false"/>
          <w:sz w:val="24"/>
        </w:rPr>
      </w:pPr>
      <w:r>
        <w:rPr>
          <w:b w:val="false"/>
          <w:sz w:val="24"/>
        </w:rPr>
        <w:t>LDS and MLS Customers</w:t>
        <w:tab/>
        <w:tab/>
        <w:t>$0.0242/MCF</w:t>
      </w:r>
    </w:p>
    <w:p>
      <w:pPr>
        <w:pStyle w:val="Heading"/>
        <w:numPr>
          <w:ilvl w:val="0"/>
          <w:numId w:val="7"/>
        </w:numPr>
        <w:tabs>
          <w:tab w:val="left" w:pos="720" w:leader="none"/>
          <w:tab w:val="left" w:pos="1080" w:leader="none"/>
        </w:tabs>
        <w:ind w:hanging="360" w:start="1080" w:end="0"/>
        <w:jc w:val="start"/>
        <w:rPr>
          <w:b w:val="false"/>
          <w:sz w:val="24"/>
        </w:rPr>
      </w:pPr>
      <w:r>
        <w:rPr>
          <w:b w:val="false"/>
          <w:sz w:val="24"/>
        </w:rPr>
        <w:t>Option 3: Daily Cash Out</w:t>
      </w:r>
    </w:p>
    <w:p>
      <w:pPr>
        <w:pStyle w:val="Heading"/>
        <w:numPr>
          <w:ilvl w:val="0"/>
          <w:numId w:val="7"/>
        </w:numPr>
        <w:tabs>
          <w:tab w:val="left" w:pos="720" w:leader="none"/>
          <w:tab w:val="left" w:pos="1440" w:leader="none"/>
        </w:tabs>
        <w:ind w:hanging="360" w:start="1440" w:end="0"/>
        <w:jc w:val="start"/>
        <w:rPr>
          <w:b w:val="false"/>
          <w:sz w:val="24"/>
        </w:rPr>
      </w:pPr>
      <w:r>
        <w:rPr>
          <w:b w:val="false"/>
          <w:sz w:val="24"/>
        </w:rPr>
        <w:t>Customer will not have daily balancing or monthly bank.</w:t>
      </w:r>
    </w:p>
    <w:p>
      <w:pPr>
        <w:pStyle w:val="Heading"/>
        <w:numPr>
          <w:ilvl w:val="0"/>
          <w:numId w:val="7"/>
        </w:numPr>
        <w:tabs>
          <w:tab w:val="left" w:pos="720" w:leader="none"/>
          <w:tab w:val="left" w:pos="1440" w:leader="none"/>
        </w:tabs>
        <w:ind w:hanging="360" w:start="1440" w:end="0"/>
        <w:jc w:val="start"/>
        <w:rPr>
          <w:b w:val="false"/>
          <w:sz w:val="24"/>
        </w:rPr>
      </w:pPr>
      <w:r>
        <w:rPr>
          <w:b w:val="false"/>
          <w:sz w:val="24"/>
        </w:rPr>
        <w:t>Electronic daily measurement is required to elect this service.</w:t>
      </w:r>
    </w:p>
    <w:p>
      <w:pPr>
        <w:pStyle w:val="Heading"/>
        <w:numPr>
          <w:ilvl w:val="0"/>
          <w:numId w:val="7"/>
        </w:numPr>
        <w:tabs>
          <w:tab w:val="left" w:pos="720" w:leader="none"/>
          <w:tab w:val="left" w:pos="1440" w:leader="none"/>
        </w:tabs>
        <w:ind w:hanging="360" w:start="1440" w:end="0"/>
        <w:jc w:val="start"/>
        <w:rPr>
          <w:b w:val="false"/>
          <w:sz w:val="24"/>
        </w:rPr>
      </w:pPr>
      <w:r>
        <w:rPr>
          <w:b w:val="false"/>
          <w:sz w:val="24"/>
        </w:rPr>
        <w:t>Customer imbalances will be cashed out daily.</w:t>
      </w:r>
    </w:p>
    <w:p>
      <w:pPr>
        <w:pStyle w:val="Heading"/>
        <w:numPr>
          <w:ilvl w:val="0"/>
          <w:numId w:val="7"/>
        </w:numPr>
        <w:tabs>
          <w:tab w:val="left" w:pos="720" w:leader="none"/>
          <w:tab w:val="left" w:pos="1440" w:leader="none"/>
        </w:tabs>
        <w:ind w:hanging="360" w:start="1440" w:end="0"/>
        <w:jc w:val="start"/>
        <w:rPr>
          <w:b w:val="false"/>
          <w:sz w:val="24"/>
        </w:rPr>
      </w:pPr>
      <w:r>
        <w:rPr>
          <w:b w:val="false"/>
          <w:sz w:val="24"/>
        </w:rPr>
        <w:t>Price for this service is $0.00/MCF.</w:t>
      </w:r>
    </w:p>
    <w:p>
      <w:pPr>
        <w:pStyle w:val="Heading"/>
        <w:tabs>
          <w:tab w:val="left" w:pos="720" w:leader="none"/>
        </w:tabs>
        <w:jc w:val="start"/>
        <w:rPr>
          <w:b w:val="false"/>
          <w:sz w:val="24"/>
        </w:rPr>
      </w:pPr>
      <w:r>
        <w:rPr>
          <w:b w:val="false"/>
          <w:sz w:val="24"/>
        </w:rPr>
      </w:r>
    </w:p>
    <w:p>
      <w:pPr>
        <w:pStyle w:val="Heading"/>
        <w:tabs>
          <w:tab w:val="left" w:pos="720" w:leader="none"/>
        </w:tabs>
        <w:jc w:val="start"/>
        <w:rPr>
          <w:b w:val="false"/>
          <w:sz w:val="24"/>
        </w:rPr>
      </w:pPr>
      <w:r>
        <w:rPr>
          <w:b w:val="false"/>
          <w:sz w:val="24"/>
        </w:rPr>
        <w:tab/>
        <w:t>CASH OUT of Imbalance Gas, for any option, is based on an average index as in the past, but will be adjusted based upon the amount of monthly (for EBS Options 1 &amp; 2) or daily (for EBS Option 3) over/under deliveries.  It is calculated as follows:</w:t>
      </w:r>
    </w:p>
    <w:p>
      <w:pPr>
        <w:pStyle w:val="Heading"/>
        <w:numPr>
          <w:ilvl w:val="0"/>
          <w:numId w:val="2"/>
        </w:numPr>
        <w:tabs>
          <w:tab w:val="left" w:pos="720" w:leader="none"/>
          <w:tab w:val="left" w:pos="1170" w:leader="none"/>
          <w:tab w:val="left" w:pos="1440" w:leader="none"/>
        </w:tabs>
        <w:ind w:hanging="360" w:start="1440" w:end="0"/>
        <w:jc w:val="start"/>
        <w:rPr>
          <w:b w:val="false"/>
          <w:sz w:val="24"/>
        </w:rPr>
      </w:pPr>
      <w:r>
        <w:rPr>
          <w:b w:val="false"/>
          <w:sz w:val="24"/>
        </w:rPr>
        <w:t>For UNDER Deliveries:</w:t>
      </w:r>
    </w:p>
    <w:p>
      <w:pPr>
        <w:pStyle w:val="Heading"/>
        <w:tabs>
          <w:tab w:val="left" w:pos="720" w:leader="none"/>
          <w:tab w:val="left" w:pos="1170" w:leader="none"/>
        </w:tabs>
        <w:ind w:start="1440" w:end="0"/>
        <w:jc w:val="start"/>
        <w:rPr>
          <w:b w:val="false"/>
          <w:sz w:val="24"/>
          <w:u w:val="single"/>
        </w:rPr>
      </w:pPr>
      <w:r>
        <w:rPr>
          <w:b w:val="false"/>
          <w:sz w:val="24"/>
          <w:u w:val="single"/>
        </w:rPr>
      </w:r>
    </w:p>
    <w:p>
      <w:pPr>
        <w:pStyle w:val="Heading"/>
        <w:tabs>
          <w:tab w:val="left" w:pos="720" w:leader="none"/>
          <w:tab w:val="left" w:pos="1170" w:leader="none"/>
        </w:tabs>
        <w:ind w:start="1440" w:end="0"/>
        <w:jc w:val="start"/>
        <w:rPr/>
      </w:pPr>
      <w:r>
        <w:rPr>
          <w:b w:val="false"/>
          <w:sz w:val="24"/>
          <w:u w:val="single"/>
        </w:rPr>
        <w:t>Ratio of Under-Deliveries to Consumption</w:t>
      </w:r>
      <w:r>
        <w:rPr>
          <w:b w:val="false"/>
          <w:sz w:val="24"/>
        </w:rPr>
        <w:tab/>
        <w:tab/>
      </w:r>
      <w:r>
        <w:rPr>
          <w:b w:val="false"/>
          <w:sz w:val="24"/>
          <w:u w:val="single"/>
        </w:rPr>
        <w:t>Cost Adjustment</w:t>
      </w:r>
    </w:p>
    <w:p>
      <w:pPr>
        <w:pStyle w:val="Heading"/>
        <w:tabs>
          <w:tab w:val="left" w:pos="720" w:leader="none"/>
        </w:tabs>
        <w:jc w:val="start"/>
        <w:rPr>
          <w:b w:val="false"/>
          <w:sz w:val="24"/>
        </w:rPr>
      </w:pPr>
      <w:r>
        <w:rPr>
          <w:b w:val="false"/>
          <w:sz w:val="24"/>
        </w:rPr>
        <w:tab/>
        <w:tab/>
        <w:tab/>
        <w:t>0 – 5%</w:t>
        <w:tab/>
        <w:tab/>
        <w:tab/>
        <w:tab/>
        <w:tab/>
        <w:tab/>
        <w:tab/>
        <w:t>105%</w:t>
      </w:r>
    </w:p>
    <w:p>
      <w:pPr>
        <w:pStyle w:val="Heading"/>
        <w:tabs>
          <w:tab w:val="left" w:pos="720" w:leader="none"/>
        </w:tabs>
        <w:jc w:val="start"/>
        <w:rPr>
          <w:b w:val="false"/>
          <w:sz w:val="24"/>
        </w:rPr>
      </w:pPr>
      <w:r>
        <w:rPr>
          <w:b w:val="false"/>
          <w:sz w:val="24"/>
        </w:rPr>
        <w:tab/>
        <w:tab/>
        <w:tab/>
        <w:t>5.01 – 10%</w:t>
        <w:tab/>
        <w:tab/>
        <w:tab/>
        <w:tab/>
        <w:tab/>
        <w:tab/>
        <w:t>115%</w:t>
      </w:r>
    </w:p>
    <w:p>
      <w:pPr>
        <w:pStyle w:val="Heading"/>
        <w:tabs>
          <w:tab w:val="left" w:pos="720" w:leader="none"/>
        </w:tabs>
        <w:jc w:val="start"/>
        <w:rPr>
          <w:b w:val="false"/>
          <w:sz w:val="24"/>
        </w:rPr>
      </w:pPr>
      <w:r>
        <w:rPr>
          <w:b w:val="false"/>
          <w:sz w:val="24"/>
        </w:rPr>
        <w:tab/>
        <w:tab/>
        <w:tab/>
        <w:t>10.01 – 15%</w:t>
        <w:tab/>
        <w:tab/>
        <w:tab/>
        <w:tab/>
        <w:tab/>
        <w:tab/>
        <w:t>125%</w:t>
      </w:r>
    </w:p>
    <w:p>
      <w:pPr>
        <w:pStyle w:val="Heading"/>
        <w:tabs>
          <w:tab w:val="left" w:pos="720" w:leader="none"/>
        </w:tabs>
        <w:jc w:val="start"/>
        <w:rPr>
          <w:b w:val="false"/>
          <w:sz w:val="24"/>
        </w:rPr>
      </w:pPr>
      <w:r>
        <w:rPr>
          <w:b w:val="false"/>
          <w:sz w:val="24"/>
        </w:rPr>
        <w:tab/>
        <w:tab/>
        <w:tab/>
        <w:t>&gt; 15%</w:t>
        <w:tab/>
        <w:tab/>
        <w:tab/>
        <w:tab/>
        <w:tab/>
        <w:tab/>
        <w:tab/>
        <w:t>150%</w:t>
      </w:r>
    </w:p>
    <w:p>
      <w:pPr>
        <w:pStyle w:val="Heading"/>
        <w:tabs>
          <w:tab w:val="left" w:pos="720" w:leader="none"/>
        </w:tabs>
        <w:jc w:val="start"/>
        <w:rPr>
          <w:b w:val="false"/>
          <w:sz w:val="24"/>
        </w:rPr>
      </w:pPr>
      <w:r>
        <w:rPr>
          <w:b w:val="false"/>
          <w:sz w:val="24"/>
        </w:rPr>
      </w:r>
    </w:p>
    <w:p>
      <w:pPr>
        <w:pStyle w:val="Heading"/>
        <w:numPr>
          <w:ilvl w:val="0"/>
          <w:numId w:val="2"/>
        </w:numPr>
        <w:tabs>
          <w:tab w:val="left" w:pos="720" w:leader="none"/>
          <w:tab w:val="left" w:pos="1170" w:leader="none"/>
          <w:tab w:val="left" w:pos="1440" w:leader="none"/>
        </w:tabs>
        <w:ind w:hanging="360" w:start="1440" w:end="0"/>
        <w:jc w:val="start"/>
        <w:rPr>
          <w:b w:val="false"/>
          <w:sz w:val="24"/>
        </w:rPr>
      </w:pPr>
      <w:r>
        <w:rPr>
          <w:b w:val="false"/>
          <w:sz w:val="24"/>
        </w:rPr>
        <w:t>For OVER Deliveries:</w:t>
      </w:r>
    </w:p>
    <w:p>
      <w:pPr>
        <w:pStyle w:val="Heading"/>
        <w:tabs>
          <w:tab w:val="left" w:pos="720" w:leader="none"/>
          <w:tab w:val="left" w:pos="1170" w:leader="none"/>
        </w:tabs>
        <w:ind w:start="1440" w:end="0"/>
        <w:jc w:val="start"/>
        <w:rPr>
          <w:b w:val="false"/>
          <w:sz w:val="24"/>
          <w:u w:val="single"/>
        </w:rPr>
      </w:pPr>
      <w:r>
        <w:rPr>
          <w:b w:val="false"/>
          <w:sz w:val="24"/>
          <w:u w:val="single"/>
        </w:rPr>
      </w:r>
    </w:p>
    <w:p>
      <w:pPr>
        <w:pStyle w:val="Heading"/>
        <w:tabs>
          <w:tab w:val="left" w:pos="720" w:leader="none"/>
          <w:tab w:val="left" w:pos="1170" w:leader="none"/>
        </w:tabs>
        <w:ind w:start="1440" w:end="0"/>
        <w:jc w:val="start"/>
        <w:rPr/>
      </w:pPr>
      <w:r>
        <w:rPr>
          <w:b w:val="false"/>
          <w:sz w:val="24"/>
          <w:u w:val="single"/>
        </w:rPr>
        <w:t>Ratio of Over-Deliveries to Consumption</w:t>
      </w:r>
      <w:r>
        <w:rPr>
          <w:b w:val="false"/>
          <w:sz w:val="24"/>
        </w:rPr>
        <w:tab/>
        <w:tab/>
      </w:r>
      <w:r>
        <w:rPr>
          <w:b w:val="false"/>
          <w:sz w:val="24"/>
          <w:u w:val="single"/>
        </w:rPr>
        <w:t>Cost Adjustment</w:t>
      </w:r>
    </w:p>
    <w:p>
      <w:pPr>
        <w:pStyle w:val="Heading"/>
        <w:tabs>
          <w:tab w:val="left" w:pos="720" w:leader="none"/>
        </w:tabs>
        <w:jc w:val="start"/>
        <w:rPr>
          <w:b w:val="false"/>
          <w:sz w:val="24"/>
        </w:rPr>
      </w:pPr>
      <w:r>
        <w:rPr>
          <w:b w:val="false"/>
          <w:sz w:val="24"/>
        </w:rPr>
        <w:tab/>
        <w:tab/>
        <w:tab/>
        <w:t>0 – 5%</w:t>
        <w:tab/>
        <w:tab/>
        <w:tab/>
        <w:tab/>
        <w:tab/>
        <w:tab/>
        <w:tab/>
        <w:t>90%</w:t>
      </w:r>
    </w:p>
    <w:p>
      <w:pPr>
        <w:pStyle w:val="Heading"/>
        <w:tabs>
          <w:tab w:val="left" w:pos="720" w:leader="none"/>
        </w:tabs>
        <w:jc w:val="start"/>
        <w:rPr>
          <w:b w:val="false"/>
          <w:sz w:val="24"/>
        </w:rPr>
      </w:pPr>
      <w:r>
        <w:rPr>
          <w:b w:val="false"/>
          <w:sz w:val="24"/>
        </w:rPr>
        <w:tab/>
        <w:tab/>
        <w:tab/>
        <w:t>5.01 – 10%</w:t>
        <w:tab/>
        <w:tab/>
        <w:tab/>
        <w:tab/>
        <w:tab/>
        <w:tab/>
        <w:t>85%</w:t>
      </w:r>
    </w:p>
    <w:p>
      <w:pPr>
        <w:pStyle w:val="Heading"/>
        <w:tabs>
          <w:tab w:val="left" w:pos="720" w:leader="none"/>
        </w:tabs>
        <w:jc w:val="start"/>
        <w:rPr>
          <w:b w:val="false"/>
          <w:sz w:val="24"/>
        </w:rPr>
      </w:pPr>
      <w:r>
        <w:rPr>
          <w:b w:val="false"/>
          <w:sz w:val="24"/>
        </w:rPr>
        <w:tab/>
        <w:tab/>
        <w:tab/>
        <w:t>10.01 – 15%</w:t>
        <w:tab/>
        <w:tab/>
        <w:tab/>
        <w:tab/>
        <w:tab/>
        <w:tab/>
        <w:t>75%</w:t>
      </w:r>
    </w:p>
    <w:p>
      <w:pPr>
        <w:pStyle w:val="Heading"/>
        <w:tabs>
          <w:tab w:val="left" w:pos="720" w:leader="none"/>
          <w:tab w:val="left" w:pos="1080" w:leader="none"/>
        </w:tabs>
        <w:jc w:val="start"/>
        <w:rPr>
          <w:b w:val="false"/>
          <w:sz w:val="24"/>
        </w:rPr>
      </w:pPr>
      <w:r>
        <w:rPr>
          <w:b w:val="false"/>
          <w:sz w:val="24"/>
        </w:rPr>
        <w:tab/>
        <w:tab/>
        <w:tab/>
        <w:tab/>
        <w:t>&gt; 15%</w:t>
        <w:tab/>
        <w:tab/>
        <w:tab/>
        <w:tab/>
        <w:tab/>
        <w:tab/>
        <w:tab/>
        <w:t>50%</w:t>
      </w:r>
    </w:p>
    <w:p>
      <w:pPr>
        <w:pStyle w:val="Heading"/>
        <w:tabs>
          <w:tab w:val="left" w:pos="720" w:leader="none"/>
          <w:tab w:val="left" w:pos="1080" w:leader="none"/>
        </w:tabs>
        <w:jc w:val="start"/>
        <w:rPr>
          <w:b w:val="false"/>
          <w:sz w:val="24"/>
        </w:rPr>
      </w:pPr>
      <w:r>
        <w:rPr>
          <w:b w:val="false"/>
          <w:sz w:val="24"/>
        </w:rPr>
      </w:r>
    </w:p>
    <w:p>
      <w:pPr>
        <w:pStyle w:val="Heading"/>
        <w:numPr>
          <w:ilvl w:val="0"/>
          <w:numId w:val="9"/>
        </w:numPr>
        <w:tabs>
          <w:tab w:val="left" w:pos="720" w:leader="none"/>
          <w:tab w:val="left" w:pos="1080" w:leader="none"/>
        </w:tabs>
        <w:jc w:val="start"/>
        <w:rPr>
          <w:b w:val="false"/>
          <w:sz w:val="24"/>
        </w:rPr>
      </w:pPr>
      <w:r>
        <w:rPr>
          <w:b w:val="false"/>
          <w:sz w:val="24"/>
        </w:rPr>
        <w:t>Election for this EBS service is on an annual basis; if no election is made, customer will default to Option 1.</w:t>
      </w:r>
    </w:p>
    <w:p>
      <w:pPr>
        <w:pStyle w:val="Heading"/>
        <w:tabs>
          <w:tab w:val="left" w:pos="720" w:leader="none"/>
          <w:tab w:val="left" w:pos="1080" w:leader="none"/>
        </w:tabs>
        <w:jc w:val="start"/>
        <w:rPr>
          <w:b w:val="false"/>
          <w:sz w:val="24"/>
        </w:rPr>
      </w:pPr>
      <w:r>
        <w:rPr>
          <w:b w:val="false"/>
          <w:sz w:val="24"/>
        </w:rPr>
        <w:br/>
      </w:r>
      <w:r>
        <w:rPr>
          <w:sz w:val="24"/>
          <w:u w:val="single"/>
        </w:rPr>
        <w:t>Flow Order Management Service</w:t>
      </w:r>
    </w:p>
    <w:p>
      <w:pPr>
        <w:pStyle w:val="Heading"/>
        <w:tabs>
          <w:tab w:val="left" w:pos="720" w:leader="none"/>
          <w:tab w:val="left" w:pos="1080" w:leader="none"/>
        </w:tabs>
        <w:jc w:val="start"/>
        <w:rPr>
          <w:b w:val="false"/>
          <w:sz w:val="24"/>
        </w:rPr>
      </w:pPr>
      <w:r>
        <w:rPr>
          <w:b w:val="false"/>
          <w:sz w:val="24"/>
        </w:rPr>
      </w:r>
    </w:p>
    <w:p>
      <w:pPr>
        <w:pStyle w:val="Heading"/>
        <w:numPr>
          <w:ilvl w:val="0"/>
          <w:numId w:val="5"/>
        </w:numPr>
        <w:tabs>
          <w:tab w:val="left" w:pos="720" w:leader="none"/>
          <w:tab w:val="left" w:pos="1080" w:leader="none"/>
        </w:tabs>
        <w:jc w:val="start"/>
        <w:rPr>
          <w:b w:val="false"/>
          <w:sz w:val="24"/>
        </w:rPr>
      </w:pPr>
      <w:r>
        <w:rPr>
          <w:b w:val="false"/>
          <w:sz w:val="24"/>
        </w:rPr>
        <w:t>A new service available to customers consuming over 50,000 MCF per year and located in the same TCO market area.</w:t>
      </w:r>
    </w:p>
    <w:p>
      <w:pPr>
        <w:pStyle w:val="Heading"/>
        <w:numPr>
          <w:ilvl w:val="0"/>
          <w:numId w:val="5"/>
        </w:numPr>
        <w:tabs>
          <w:tab w:val="left" w:pos="720" w:leader="none"/>
          <w:tab w:val="left" w:pos="1080" w:leader="none"/>
        </w:tabs>
        <w:jc w:val="start"/>
        <w:rPr>
          <w:b w:val="false"/>
          <w:sz w:val="24"/>
        </w:rPr>
      </w:pPr>
      <w:r>
        <w:rPr>
          <w:b w:val="false"/>
          <w:sz w:val="24"/>
        </w:rPr>
        <w:t>Customers or an NGS can form a group and compliance with OFO/OMOs is based upon group deliveries vs. consumption.</w:t>
      </w:r>
    </w:p>
    <w:p>
      <w:pPr>
        <w:pStyle w:val="Heading"/>
        <w:numPr>
          <w:ilvl w:val="0"/>
          <w:numId w:val="5"/>
        </w:numPr>
        <w:tabs>
          <w:tab w:val="left" w:pos="720" w:leader="none"/>
          <w:tab w:val="left" w:pos="1080" w:leader="none"/>
        </w:tabs>
        <w:jc w:val="start"/>
        <w:rPr>
          <w:b w:val="false"/>
          <w:sz w:val="24"/>
        </w:rPr>
      </w:pPr>
      <w:r>
        <w:rPr>
          <w:b w:val="false"/>
          <w:sz w:val="24"/>
        </w:rPr>
        <w:t>Penalties are shared equally among group members.</w:t>
      </w:r>
    </w:p>
    <w:p>
      <w:pPr>
        <w:pStyle w:val="Heading"/>
        <w:numPr>
          <w:ilvl w:val="0"/>
          <w:numId w:val="5"/>
        </w:numPr>
        <w:tabs>
          <w:tab w:val="left" w:pos="720" w:leader="none"/>
          <w:tab w:val="left" w:pos="1080" w:leader="none"/>
        </w:tabs>
        <w:jc w:val="start"/>
        <w:rPr>
          <w:b w:val="false"/>
          <w:sz w:val="24"/>
        </w:rPr>
      </w:pPr>
      <w:r>
        <w:rPr>
          <w:b w:val="false"/>
          <w:sz w:val="24"/>
        </w:rPr>
        <w:t>Pricing for this service is $0.01/MCF.</w:t>
      </w:r>
    </w:p>
    <w:p>
      <w:pPr>
        <w:pStyle w:val="Heading"/>
        <w:numPr>
          <w:ilvl w:val="0"/>
          <w:numId w:val="5"/>
        </w:numPr>
        <w:tabs>
          <w:tab w:val="left" w:pos="720" w:leader="none"/>
          <w:tab w:val="left" w:pos="1080" w:leader="none"/>
        </w:tabs>
        <w:jc w:val="start"/>
        <w:rPr>
          <w:b w:val="false"/>
          <w:sz w:val="24"/>
        </w:rPr>
      </w:pPr>
      <w:r>
        <w:rPr>
          <w:b w:val="false"/>
          <w:sz w:val="24"/>
        </w:rPr>
        <w:t>Election for this service is on an annual basis.</w:t>
      </w:r>
    </w:p>
    <w:p>
      <w:pPr>
        <w:pStyle w:val="Heading"/>
        <w:tabs>
          <w:tab w:val="left" w:pos="720" w:leader="none"/>
          <w:tab w:val="left" w:pos="1080" w:leader="none"/>
        </w:tabs>
        <w:jc w:val="start"/>
        <w:rPr>
          <w:b w:val="false"/>
          <w:sz w:val="24"/>
        </w:rPr>
      </w:pPr>
      <w:r>
        <w:rPr>
          <w:b w:val="false"/>
          <w:sz w:val="24"/>
        </w:rPr>
      </w:r>
    </w:p>
    <w:p>
      <w:pPr>
        <w:pStyle w:val="Heading"/>
        <w:tabs>
          <w:tab w:val="left" w:pos="720" w:leader="none"/>
          <w:tab w:val="left" w:pos="1080" w:leader="none"/>
        </w:tabs>
        <w:jc w:val="start"/>
        <w:rPr>
          <w:b w:val="false"/>
          <w:sz w:val="24"/>
        </w:rPr>
      </w:pPr>
      <w:r>
        <w:rPr>
          <w:sz w:val="24"/>
          <w:u w:val="single"/>
        </w:rPr>
        <w:t>Imbalance Trading Service</w:t>
      </w:r>
    </w:p>
    <w:p>
      <w:pPr>
        <w:pStyle w:val="Heading"/>
        <w:tabs>
          <w:tab w:val="left" w:pos="720" w:leader="none"/>
          <w:tab w:val="left" w:pos="1080" w:leader="none"/>
        </w:tabs>
        <w:jc w:val="start"/>
        <w:rPr>
          <w:b w:val="false"/>
          <w:sz w:val="24"/>
        </w:rPr>
      </w:pPr>
      <w:r>
        <w:rPr>
          <w:b w:val="false"/>
          <w:sz w:val="24"/>
        </w:rPr>
      </w:r>
    </w:p>
    <w:p>
      <w:pPr>
        <w:pStyle w:val="Heading"/>
        <w:numPr>
          <w:ilvl w:val="0"/>
          <w:numId w:val="12"/>
        </w:numPr>
        <w:tabs>
          <w:tab w:val="left" w:pos="720" w:leader="none"/>
          <w:tab w:val="left" w:pos="1080" w:leader="none"/>
        </w:tabs>
        <w:jc w:val="start"/>
        <w:rPr>
          <w:b w:val="false"/>
          <w:sz w:val="24"/>
        </w:rPr>
      </w:pPr>
      <w:r>
        <w:rPr>
          <w:b w:val="false"/>
          <w:sz w:val="24"/>
        </w:rPr>
        <w:t>A new service for customers electing Option 1, Full Balancing Service and no pre-arranged contract is required.</w:t>
      </w:r>
    </w:p>
    <w:p>
      <w:pPr>
        <w:pStyle w:val="Heading"/>
        <w:numPr>
          <w:ilvl w:val="0"/>
          <w:numId w:val="12"/>
        </w:numPr>
        <w:tabs>
          <w:tab w:val="left" w:pos="720" w:leader="none"/>
          <w:tab w:val="left" w:pos="1080" w:leader="none"/>
        </w:tabs>
        <w:jc w:val="start"/>
        <w:rPr>
          <w:b w:val="false"/>
          <w:sz w:val="24"/>
        </w:rPr>
      </w:pPr>
      <w:r>
        <w:rPr>
          <w:b w:val="false"/>
          <w:sz w:val="24"/>
        </w:rPr>
        <w:t>Allows customers to perform bank trades between customers utilizing the same Transmission Company, but during OFO/OMOs, bank trades are limited between customers in the same TCO market area.</w:t>
      </w:r>
    </w:p>
    <w:p>
      <w:pPr>
        <w:pStyle w:val="Heading"/>
        <w:numPr>
          <w:ilvl w:val="0"/>
          <w:numId w:val="12"/>
        </w:numPr>
        <w:tabs>
          <w:tab w:val="left" w:pos="720" w:leader="none"/>
          <w:tab w:val="left" w:pos="1080" w:leader="none"/>
        </w:tabs>
        <w:jc w:val="start"/>
        <w:rPr>
          <w:b w:val="false"/>
          <w:sz w:val="24"/>
        </w:rPr>
      </w:pPr>
      <w:r>
        <w:rPr>
          <w:b w:val="false"/>
          <w:sz w:val="24"/>
        </w:rPr>
        <w:t>Pricing for this service is $0.10/MCF or Dth.</w:t>
      </w:r>
    </w:p>
    <w:p>
      <w:pPr>
        <w:pStyle w:val="Heading"/>
        <w:tabs>
          <w:tab w:val="left" w:pos="720" w:leader="none"/>
          <w:tab w:val="left" w:pos="1080" w:leader="none"/>
        </w:tabs>
        <w:jc w:val="start"/>
        <w:rPr>
          <w:b w:val="false"/>
          <w:sz w:val="24"/>
        </w:rPr>
      </w:pPr>
      <w:r>
        <w:rPr>
          <w:b w:val="false"/>
          <w:sz w:val="24"/>
        </w:rPr>
      </w:r>
    </w:p>
    <w:p>
      <w:pPr>
        <w:pStyle w:val="Heading"/>
        <w:tabs>
          <w:tab w:val="left" w:pos="720" w:leader="none"/>
          <w:tab w:val="left" w:pos="1080" w:leader="none"/>
        </w:tabs>
        <w:jc w:val="start"/>
        <w:rPr/>
      </w:pPr>
      <w:r>
        <w:rPr>
          <w:sz w:val="24"/>
          <w:u w:val="single"/>
        </w:rPr>
        <w:t>Other OFO/OMO Issues</w:t>
      </w:r>
      <w:r>
        <w:rPr>
          <w:b w:val="false"/>
          <w:sz w:val="24"/>
        </w:rPr>
        <w:t xml:space="preserve"> </w:t>
      </w:r>
    </w:p>
    <w:p>
      <w:pPr>
        <w:pStyle w:val="Heading"/>
        <w:tabs>
          <w:tab w:val="left" w:pos="720" w:leader="none"/>
          <w:tab w:val="left" w:pos="1080" w:leader="none"/>
        </w:tabs>
        <w:jc w:val="start"/>
        <w:rPr>
          <w:b w:val="false"/>
          <w:sz w:val="24"/>
        </w:rPr>
      </w:pPr>
      <w:r>
        <w:rPr>
          <w:b w:val="false"/>
          <w:sz w:val="24"/>
        </w:rPr>
      </w:r>
    </w:p>
    <w:p>
      <w:pPr>
        <w:pStyle w:val="Heading"/>
        <w:numPr>
          <w:ilvl w:val="0"/>
          <w:numId w:val="6"/>
        </w:numPr>
        <w:tabs>
          <w:tab w:val="left" w:pos="360" w:leader="none"/>
          <w:tab w:val="left" w:pos="720" w:leader="none"/>
          <w:tab w:val="left" w:pos="1080" w:leader="none"/>
        </w:tabs>
        <w:jc w:val="start"/>
        <w:rPr>
          <w:b w:val="false"/>
          <w:sz w:val="24"/>
        </w:rPr>
      </w:pPr>
      <w:r>
        <w:rPr>
          <w:b w:val="false"/>
          <w:sz w:val="24"/>
        </w:rPr>
        <w:t>OFO Governed Service</w:t>
      </w:r>
    </w:p>
    <w:p>
      <w:pPr>
        <w:pStyle w:val="Heading"/>
        <w:numPr>
          <w:ilvl w:val="0"/>
          <w:numId w:val="6"/>
        </w:numPr>
        <w:tabs>
          <w:tab w:val="left" w:pos="360" w:leader="none"/>
          <w:tab w:val="left" w:pos="720" w:leader="none"/>
          <w:tab w:val="left" w:pos="1080" w:leader="none"/>
        </w:tabs>
        <w:ind w:hanging="360" w:start="720" w:end="0"/>
        <w:jc w:val="start"/>
        <w:rPr>
          <w:b w:val="false"/>
          <w:sz w:val="24"/>
        </w:rPr>
      </w:pPr>
      <w:r>
        <w:rPr>
          <w:b w:val="false"/>
          <w:sz w:val="24"/>
        </w:rPr>
        <w:t>Customers with mechanical chart-type daily measurement can elect to be governed under OFO rules.  Previously, option was not available and customers were governed under OMO rules.</w:t>
      </w:r>
    </w:p>
    <w:p>
      <w:pPr>
        <w:pStyle w:val="Heading"/>
        <w:numPr>
          <w:ilvl w:val="0"/>
          <w:numId w:val="6"/>
        </w:numPr>
        <w:tabs>
          <w:tab w:val="left" w:pos="360" w:leader="none"/>
          <w:tab w:val="left" w:pos="720" w:leader="none"/>
          <w:tab w:val="left" w:pos="1080" w:leader="none"/>
        </w:tabs>
        <w:ind w:hanging="360" w:start="720" w:end="0"/>
        <w:jc w:val="start"/>
        <w:rPr>
          <w:b w:val="false"/>
          <w:sz w:val="24"/>
        </w:rPr>
      </w:pPr>
      <w:r>
        <w:rPr>
          <w:b w:val="false"/>
          <w:sz w:val="24"/>
        </w:rPr>
        <w:t>Election for this service is on an annual basis.</w:t>
      </w:r>
    </w:p>
    <w:p>
      <w:pPr>
        <w:pStyle w:val="Heading"/>
        <w:numPr>
          <w:ilvl w:val="0"/>
          <w:numId w:val="11"/>
        </w:numPr>
        <w:tabs>
          <w:tab w:val="left" w:pos="720" w:leader="none"/>
          <w:tab w:val="left" w:pos="1080" w:leader="none"/>
        </w:tabs>
        <w:jc w:val="start"/>
        <w:rPr>
          <w:b w:val="false"/>
          <w:sz w:val="24"/>
        </w:rPr>
      </w:pPr>
      <w:r>
        <w:rPr>
          <w:b w:val="false"/>
          <w:sz w:val="24"/>
        </w:rPr>
        <w:t>NGSs expected to inform CPA of intended response to Operational Alerts within four (4) hours.</w:t>
      </w:r>
    </w:p>
    <w:p>
      <w:pPr>
        <w:pStyle w:val="Heading"/>
        <w:numPr>
          <w:ilvl w:val="0"/>
          <w:numId w:val="11"/>
        </w:numPr>
        <w:tabs>
          <w:tab w:val="left" w:pos="720" w:leader="none"/>
          <w:tab w:val="left" w:pos="1080" w:leader="none"/>
        </w:tabs>
        <w:jc w:val="start"/>
        <w:rPr>
          <w:b w:val="false"/>
          <w:sz w:val="24"/>
        </w:rPr>
      </w:pPr>
      <w:r>
        <w:rPr>
          <w:b w:val="false"/>
          <w:sz w:val="24"/>
        </w:rPr>
        <w:t>OFO/OMOs issued on eight (8) hours notice to the extent possible.</w:t>
      </w:r>
    </w:p>
    <w:p>
      <w:pPr>
        <w:pStyle w:val="Heading"/>
        <w:numPr>
          <w:ilvl w:val="0"/>
          <w:numId w:val="11"/>
        </w:numPr>
        <w:tabs>
          <w:tab w:val="left" w:pos="720" w:leader="none"/>
          <w:tab w:val="left" w:pos="1080" w:leader="none"/>
        </w:tabs>
        <w:jc w:val="start"/>
        <w:rPr>
          <w:b w:val="false"/>
          <w:sz w:val="24"/>
        </w:rPr>
      </w:pPr>
      <w:r>
        <w:rPr>
          <w:b w:val="false"/>
          <w:sz w:val="24"/>
        </w:rPr>
        <w:t>CPA tariff language is revised for purposes of clarification.</w:t>
      </w:r>
    </w:p>
    <w:p>
      <w:pPr>
        <w:pStyle w:val="Heading"/>
        <w:tabs>
          <w:tab w:val="left" w:pos="720" w:leader="none"/>
          <w:tab w:val="left" w:pos="1080" w:leader="none"/>
        </w:tabs>
        <w:rPr>
          <w:b w:val="false"/>
          <w:sz w:val="24"/>
        </w:rPr>
      </w:pPr>
      <w:r>
        <w:rPr>
          <w:b w:val="false"/>
          <w:sz w:val="24"/>
        </w:rPr>
      </w:r>
    </w:p>
    <w:p>
      <w:pPr>
        <w:pStyle w:val="Heading"/>
        <w:tabs>
          <w:tab w:val="left" w:pos="720" w:leader="none"/>
          <w:tab w:val="left" w:pos="1080" w:leader="none"/>
        </w:tabs>
        <w:rPr>
          <w:sz w:val="24"/>
        </w:rPr>
      </w:pPr>
      <w:r>
        <w:rPr>
          <w:sz w:val="24"/>
        </w:rPr>
      </w:r>
    </w:p>
    <w:p>
      <w:pPr>
        <w:pStyle w:val="Heading"/>
        <w:tabs>
          <w:tab w:val="left" w:pos="720" w:leader="none"/>
          <w:tab w:val="left" w:pos="1080" w:leader="none"/>
        </w:tabs>
        <w:rPr>
          <w:sz w:val="24"/>
        </w:rPr>
      </w:pPr>
      <w:r>
        <w:rPr>
          <w:sz w:val="24"/>
        </w:rPr>
        <w:t>*** PLEASE COMPLETE ATTACHED SERVICE ELECTION FORMS. ***</w:t>
      </w:r>
    </w:p>
    <w:p>
      <w:pPr>
        <w:pStyle w:val="Heading"/>
        <w:rPr>
          <w:sz w:val="28"/>
        </w:rPr>
      </w:pPr>
      <w:r>
        <w:rPr>
          <w:sz w:val="28"/>
        </w:rPr>
        <w:t>Columbia Gas of Pennsylvania, Inc.</w:t>
      </w:r>
    </w:p>
    <w:p>
      <w:pPr>
        <w:pStyle w:val="Normal"/>
        <w:jc w:val="center"/>
        <w:rPr>
          <w:b/>
          <w:sz w:val="28"/>
        </w:rPr>
      </w:pPr>
      <w:r>
        <w:rPr>
          <w:b/>
          <w:sz w:val="28"/>
        </w:rPr>
        <w:t>New Services and Options</w:t>
      </w:r>
    </w:p>
    <w:p>
      <w:pPr>
        <w:pStyle w:val="Normal"/>
        <w:jc w:val="center"/>
        <w:rPr>
          <w:b/>
          <w:sz w:val="28"/>
        </w:rPr>
      </w:pPr>
      <w:r>
        <w:rPr>
          <w:b/>
          <w:sz w:val="28"/>
        </w:rPr>
        <w:t>Effective October 22, 2001</w:t>
      </w:r>
    </w:p>
    <w:p>
      <w:pPr>
        <w:pStyle w:val="Normal"/>
        <w:jc w:val="center"/>
        <w:rPr>
          <w:b/>
          <w:sz w:val="28"/>
        </w:rPr>
      </w:pPr>
      <w:r>
        <w:rPr>
          <w:b/>
          <w:sz w:val="28"/>
        </w:rPr>
      </w:r>
    </w:p>
    <w:p>
      <w:pPr>
        <w:pStyle w:val="Heading1"/>
        <w:ind w:hanging="0" w:start="0"/>
        <w:rPr>
          <w:sz w:val="28"/>
        </w:rPr>
      </w:pPr>
      <w:r>
        <w:rPr>
          <w:sz w:val="28"/>
        </w:rPr>
        <w:t>Service Election Form 1</w:t>
      </w:r>
    </w:p>
    <w:p>
      <w:pPr>
        <w:pStyle w:val="Normal"/>
        <w:jc w:val="center"/>
        <w:rPr>
          <w:b/>
          <w:sz w:val="24"/>
          <w:u w:val="single"/>
        </w:rPr>
      </w:pPr>
      <w:r>
        <w:rPr>
          <w:b/>
          <w:sz w:val="24"/>
          <w:u w:val="single"/>
        </w:rPr>
      </w:r>
    </w:p>
    <w:p>
      <w:pPr>
        <w:pStyle w:val="BodyText2"/>
        <w:ind w:hanging="720" w:start="720" w:end="0"/>
        <w:jc w:val="start"/>
        <w:rPr/>
      </w:pPr>
      <w:r>
        <w:rPr>
          <w:sz w:val="24"/>
        </w:rPr>
        <w:t>***</w:t>
        <w:tab/>
        <w:t xml:space="preserve">This form requires immediate attention and review and is to be faxed to GDS Department @ (412) 572-7161 </w:t>
      </w:r>
      <w:r>
        <w:rPr>
          <w:sz w:val="24"/>
          <w:u w:val="single"/>
        </w:rPr>
        <w:t>by November 1, 2001</w:t>
      </w:r>
      <w:r>
        <w:rPr>
          <w:sz w:val="24"/>
        </w:rPr>
        <w:t>.</w:t>
      </w:r>
    </w:p>
    <w:p>
      <w:pPr>
        <w:pStyle w:val="Normal"/>
        <w:jc w:val="center"/>
        <w:rPr>
          <w:b/>
          <w:sz w:val="24"/>
          <w:u w:val="single"/>
        </w:rPr>
      </w:pPr>
      <w:r>
        <w:rPr>
          <w:b/>
          <w:sz w:val="24"/>
          <w:u w:val="single"/>
        </w:rPr>
      </w:r>
    </w:p>
    <w:p>
      <w:pPr>
        <w:pStyle w:val="BodyText"/>
        <w:rPr>
          <w:b w:val="false"/>
          <w:sz w:val="24"/>
          <w:u w:val="single"/>
        </w:rPr>
      </w:pPr>
      <w:r>
        <w:rPr>
          <w:b w:val="false"/>
          <w:sz w:val="24"/>
          <w:u w:val="single"/>
        </w:rPr>
      </w:r>
    </w:p>
    <w:p>
      <w:pPr>
        <w:pStyle w:val="BodyText"/>
        <w:rPr/>
      </w:pPr>
      <w:r>
        <w:rPr>
          <w:sz w:val="24"/>
        </w:rPr>
        <w:t>Flow Order Management Service</w:t>
      </w:r>
      <w:r>
        <w:rPr>
          <w:b w:val="false"/>
          <w:sz w:val="24"/>
        </w:rPr>
        <w:t xml:space="preserve"> –  Service requirement is annual volume &gt;50,000 MCF/year and aggregation accounts are not eligible.</w:t>
      </w:r>
    </w:p>
    <w:p>
      <w:pPr>
        <w:pStyle w:val="BodyText"/>
        <w:rPr>
          <w:b w:val="false"/>
          <w:sz w:val="24"/>
        </w:rPr>
      </w:pPr>
      <w:r>
        <w:rPr>
          <w:b w:val="false"/>
          <w:sz w:val="24"/>
        </w:rPr>
      </w:r>
    </w:p>
    <w:p>
      <w:pPr>
        <w:pStyle w:val="BodyText"/>
        <w:ind w:hanging="1440" w:start="1440" w:end="0"/>
        <w:rPr>
          <w:sz w:val="24"/>
        </w:rPr>
      </w:pPr>
      <w:r>
        <w:rPr>
          <w:sz w:val="24"/>
        </w:rPr>
        <w:t>_______</w:t>
        <w:tab/>
        <w:t>Yes, I am electing this service for the year beginning November 1, 2001 and my group members (all located within the same TCO Market Area) include:</w:t>
      </w:r>
    </w:p>
    <w:p>
      <w:pPr>
        <w:pStyle w:val="BodyText"/>
        <w:rPr>
          <w:sz w:val="24"/>
        </w:rPr>
      </w:pPr>
      <w:r>
        <w:rPr>
          <w:sz w:val="24"/>
        </w:rPr>
        <w:tab/>
        <w:tab/>
        <w:t>_______________________</w:t>
        <w:tab/>
        <w:tab/>
        <w:t>________________________</w:t>
      </w:r>
    </w:p>
    <w:p>
      <w:pPr>
        <w:pStyle w:val="BodyText"/>
        <w:rPr>
          <w:sz w:val="24"/>
        </w:rPr>
      </w:pPr>
      <w:r>
        <w:rPr>
          <w:sz w:val="24"/>
        </w:rPr>
        <w:tab/>
        <w:tab/>
        <w:t>_______________________</w:t>
        <w:tab/>
        <w:tab/>
        <w:t>________________________</w:t>
      </w:r>
    </w:p>
    <w:p>
      <w:pPr>
        <w:pStyle w:val="BodyText"/>
        <w:rPr>
          <w:sz w:val="24"/>
        </w:rPr>
      </w:pPr>
      <w:r>
        <w:rPr>
          <w:sz w:val="24"/>
        </w:rPr>
      </w:r>
    </w:p>
    <w:p>
      <w:pPr>
        <w:pStyle w:val="BodyText"/>
        <w:ind w:hanging="1440" w:start="1440" w:end="0"/>
        <w:rPr>
          <w:sz w:val="24"/>
        </w:rPr>
      </w:pPr>
      <w:r>
        <w:rPr>
          <w:sz w:val="24"/>
        </w:rPr>
        <w:tab/>
        <w:t xml:space="preserve">I understand and agree that this service is only available to my account if the customers shown above are also eligible to participate in this service and if those customers also agree to participate in this service. </w:t>
      </w:r>
    </w:p>
    <w:p>
      <w:pPr>
        <w:pStyle w:val="BodyText"/>
        <w:rPr>
          <w:sz w:val="24"/>
        </w:rPr>
      </w:pPr>
      <w:r>
        <w:rPr>
          <w:sz w:val="24"/>
        </w:rPr>
      </w:r>
    </w:p>
    <w:p>
      <w:pPr>
        <w:pStyle w:val="BodyText"/>
        <w:rPr>
          <w:sz w:val="24"/>
        </w:rPr>
      </w:pPr>
      <w:r>
        <w:rPr>
          <w:sz w:val="24"/>
        </w:rPr>
      </w:r>
    </w:p>
    <w:p>
      <w:pPr>
        <w:pStyle w:val="BodyText"/>
        <w:rPr/>
      </w:pPr>
      <w:r>
        <w:rPr>
          <w:sz w:val="24"/>
        </w:rPr>
        <w:t>Electing to be Governed by OFO Rules</w:t>
      </w:r>
      <w:r>
        <w:rPr>
          <w:b w:val="false"/>
          <w:sz w:val="24"/>
        </w:rPr>
        <w:t xml:space="preserve"> – Previously, customers that have daily measurement through a charted meter, but not an electronic meter, were governed by OMO rules.  These customers have the option of being governed by OFO rules.</w:t>
      </w:r>
    </w:p>
    <w:p>
      <w:pPr>
        <w:pStyle w:val="BodyText"/>
        <w:rPr>
          <w:b w:val="false"/>
          <w:sz w:val="24"/>
        </w:rPr>
      </w:pPr>
      <w:r>
        <w:rPr>
          <w:b w:val="false"/>
          <w:sz w:val="24"/>
        </w:rPr>
      </w:r>
    </w:p>
    <w:p>
      <w:pPr>
        <w:pStyle w:val="BodyText"/>
        <w:ind w:hanging="1440" w:start="1440" w:end="0"/>
        <w:rPr/>
      </w:pPr>
      <w:r>
        <w:rPr>
          <w:b w:val="false"/>
          <w:sz w:val="24"/>
        </w:rPr>
        <w:t>_______</w:t>
        <w:tab/>
      </w:r>
      <w:r>
        <w:rPr>
          <w:sz w:val="24"/>
        </w:rPr>
        <w:t>Yes, I am a customer that meets the above requirements and am electing to be governed by OFO rules for the year beginning November 1, 2001.</w:t>
      </w:r>
    </w:p>
    <w:p>
      <w:pPr>
        <w:pStyle w:val="BodyText"/>
        <w:rPr>
          <w:sz w:val="24"/>
        </w:rPr>
      </w:pPr>
      <w:r>
        <w:rPr>
          <w:sz w:val="24"/>
        </w:rPr>
      </w:r>
    </w:p>
    <w:p>
      <w:pPr>
        <w:pStyle w:val="BodyText"/>
        <w:rPr>
          <w:sz w:val="24"/>
        </w:rPr>
      </w:pPr>
      <w:r>
        <w:rPr>
          <w:sz w:val="24"/>
        </w:rPr>
        <w:t xml:space="preserve">VERY IMPORTANT!!!! </w:t>
      </w:r>
    </w:p>
    <w:p>
      <w:pPr>
        <w:pStyle w:val="BodyText"/>
        <w:rPr>
          <w:sz w:val="24"/>
        </w:rPr>
      </w:pPr>
      <w:r>
        <w:rPr>
          <w:sz w:val="24"/>
        </w:rPr>
      </w:r>
    </w:p>
    <w:p>
      <w:pPr>
        <w:pStyle w:val="BodyText"/>
        <w:rPr/>
      </w:pPr>
      <w:r>
        <w:rPr>
          <w:sz w:val="24"/>
        </w:rPr>
        <w:t xml:space="preserve">Please complete the information above and below and fax to GDS Department @ (412) 572-7161 </w:t>
      </w:r>
      <w:r>
        <w:rPr>
          <w:sz w:val="24"/>
          <w:u w:val="single"/>
        </w:rPr>
        <w:t>by November 1, 2001</w:t>
      </w:r>
      <w:r>
        <w:rPr>
          <w:sz w:val="24"/>
        </w:rPr>
        <w:t>.</w:t>
      </w:r>
    </w:p>
    <w:p>
      <w:pPr>
        <w:pStyle w:val="BodyText"/>
        <w:rPr>
          <w:sz w:val="24"/>
        </w:rPr>
      </w:pPr>
      <w:r>
        <w:rPr>
          <w:sz w:val="24"/>
        </w:rPr>
      </w:r>
    </w:p>
    <w:p>
      <w:pPr>
        <w:pStyle w:val="BodyText"/>
        <w:rPr>
          <w:sz w:val="24"/>
        </w:rPr>
      </w:pPr>
      <w:r>
        <w:rPr>
          <w:sz w:val="24"/>
        </w:rPr>
      </w:r>
    </w:p>
    <w:p>
      <w:pPr>
        <w:pStyle w:val="BodyText"/>
        <w:rPr>
          <w:b w:val="false"/>
          <w:sz w:val="24"/>
        </w:rPr>
      </w:pPr>
      <w:r>
        <w:rPr>
          <w:b w:val="false"/>
          <w:sz w:val="24"/>
        </w:rPr>
        <w:t>Name</w:t>
        <w:tab/>
        <w:tab/>
        <w:t>____________________________________</w:t>
      </w:r>
    </w:p>
    <w:p>
      <w:pPr>
        <w:pStyle w:val="BodyText"/>
        <w:rPr>
          <w:b w:val="false"/>
          <w:sz w:val="24"/>
        </w:rPr>
      </w:pPr>
      <w:r>
        <w:rPr>
          <w:b w:val="false"/>
          <w:sz w:val="24"/>
        </w:rPr>
        <w:t>Company</w:t>
        <w:tab/>
        <w:t>____________________________________</w:t>
      </w:r>
    </w:p>
    <w:p>
      <w:pPr>
        <w:pStyle w:val="BodyText"/>
        <w:rPr>
          <w:b w:val="false"/>
          <w:sz w:val="24"/>
        </w:rPr>
      </w:pPr>
      <w:r>
        <w:rPr>
          <w:b w:val="false"/>
          <w:sz w:val="24"/>
        </w:rPr>
        <w:t>Signature</w:t>
        <w:tab/>
        <w:t>____________________________________</w:t>
      </w:r>
    </w:p>
    <w:p>
      <w:pPr>
        <w:pStyle w:val="BodyText"/>
        <w:rPr>
          <w:b w:val="false"/>
          <w:sz w:val="24"/>
        </w:rPr>
      </w:pPr>
      <w:r>
        <w:rPr>
          <w:b w:val="false"/>
          <w:sz w:val="24"/>
        </w:rPr>
        <w:t>Date</w:t>
        <w:tab/>
        <w:tab/>
        <w:t>____________________________________</w:t>
      </w:r>
    </w:p>
    <w:p>
      <w:pPr>
        <w:pStyle w:val="BodyText"/>
        <w:rPr>
          <w:b w:val="false"/>
          <w:sz w:val="24"/>
        </w:rPr>
      </w:pPr>
      <w:r>
        <w:rPr>
          <w:b w:val="false"/>
          <w:sz w:val="24"/>
        </w:rPr>
        <w:t>Account #</w:t>
        <w:tab/>
        <w:t>____________________________________</w:t>
      </w:r>
    </w:p>
    <w:p>
      <w:pPr>
        <w:pStyle w:val="BodyText"/>
        <w:rPr>
          <w:b w:val="false"/>
          <w:sz w:val="24"/>
        </w:rPr>
      </w:pPr>
      <w:r>
        <w:rPr>
          <w:b w:val="false"/>
          <w:sz w:val="24"/>
        </w:rPr>
        <w:t>PCID #</w:t>
        <w:tab/>
        <w:t>____________________________________</w:t>
      </w:r>
    </w:p>
    <w:p>
      <w:pPr>
        <w:pStyle w:val="Heading"/>
        <w:rPr>
          <w:sz w:val="28"/>
        </w:rPr>
      </w:pPr>
      <w:r>
        <w:rPr>
          <w:sz w:val="28"/>
        </w:rPr>
        <w:t>Columbia Gas of Pennsylvania, Inc.</w:t>
      </w:r>
    </w:p>
    <w:p>
      <w:pPr>
        <w:pStyle w:val="Normal"/>
        <w:jc w:val="center"/>
        <w:rPr>
          <w:b/>
          <w:sz w:val="28"/>
        </w:rPr>
      </w:pPr>
      <w:r>
        <w:rPr>
          <w:b/>
          <w:sz w:val="28"/>
        </w:rPr>
        <w:t>New Services and Options</w:t>
      </w:r>
    </w:p>
    <w:p>
      <w:pPr>
        <w:pStyle w:val="Normal"/>
        <w:jc w:val="center"/>
        <w:rPr>
          <w:b/>
          <w:sz w:val="28"/>
        </w:rPr>
      </w:pPr>
      <w:r>
        <w:rPr>
          <w:b/>
          <w:sz w:val="28"/>
        </w:rPr>
        <w:t>Effective October 22, 2001</w:t>
      </w:r>
    </w:p>
    <w:p>
      <w:pPr>
        <w:pStyle w:val="Normal"/>
        <w:jc w:val="center"/>
        <w:rPr>
          <w:b/>
          <w:sz w:val="28"/>
        </w:rPr>
      </w:pPr>
      <w:r>
        <w:rPr>
          <w:b/>
          <w:sz w:val="28"/>
        </w:rPr>
      </w:r>
    </w:p>
    <w:p>
      <w:pPr>
        <w:pStyle w:val="Heading1"/>
        <w:ind w:hanging="0" w:start="0"/>
        <w:rPr>
          <w:sz w:val="28"/>
        </w:rPr>
      </w:pPr>
      <w:r>
        <w:rPr>
          <w:sz w:val="28"/>
        </w:rPr>
        <w:t>Service Election Form 2</w:t>
      </w:r>
    </w:p>
    <w:p>
      <w:pPr>
        <w:pStyle w:val="Normal"/>
        <w:jc w:val="center"/>
        <w:rPr>
          <w:b/>
          <w:sz w:val="24"/>
          <w:u w:val="single"/>
        </w:rPr>
      </w:pPr>
      <w:r>
        <w:rPr>
          <w:b/>
          <w:sz w:val="24"/>
          <w:u w:val="single"/>
        </w:rPr>
      </w:r>
    </w:p>
    <w:p>
      <w:pPr>
        <w:pStyle w:val="Normal"/>
        <w:ind w:hanging="720" w:start="720" w:end="0"/>
        <w:rPr/>
      </w:pPr>
      <w:r>
        <w:rPr>
          <w:b/>
          <w:sz w:val="24"/>
        </w:rPr>
        <w:t>***</w:t>
        <w:tab/>
        <w:t xml:space="preserve">This form requires immediate attention and review and is to be faxed to GDS Department @ (412) 572-7161 </w:t>
      </w:r>
      <w:r>
        <w:rPr>
          <w:b/>
          <w:sz w:val="24"/>
          <w:u w:val="single"/>
        </w:rPr>
        <w:t>by November 12, 2001</w:t>
      </w:r>
      <w:r>
        <w:rPr>
          <w:b/>
          <w:sz w:val="24"/>
        </w:rPr>
        <w:t>.</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BodyText"/>
        <w:rPr/>
      </w:pPr>
      <w:r>
        <w:rPr>
          <w:sz w:val="24"/>
        </w:rPr>
        <w:t xml:space="preserve">Elective Balancing Service (EBS) </w:t>
      </w:r>
      <w:r>
        <w:rPr>
          <w:b w:val="false"/>
          <w:sz w:val="24"/>
        </w:rPr>
        <w:t>– Check only one (1) service.  Note: if no service is checked, default service is Option 1.</w:t>
      </w:r>
    </w:p>
    <w:p>
      <w:pPr>
        <w:pStyle w:val="BodyText"/>
        <w:rPr>
          <w:b w:val="false"/>
          <w:sz w:val="24"/>
        </w:rPr>
      </w:pPr>
      <w:r>
        <w:rPr>
          <w:b w:val="false"/>
          <w:sz w:val="24"/>
        </w:rPr>
      </w:r>
    </w:p>
    <w:p>
      <w:pPr>
        <w:pStyle w:val="BodyText"/>
        <w:rPr>
          <w:sz w:val="24"/>
        </w:rPr>
      </w:pPr>
      <w:r>
        <w:rPr>
          <w:sz w:val="24"/>
        </w:rPr>
        <w:t>_______</w:t>
        <w:tab/>
        <w:t xml:space="preserve">Option 1: </w:t>
        <w:tab/>
        <w:t>Full Balancing Service (default)</w:t>
      </w:r>
    </w:p>
    <w:p>
      <w:pPr>
        <w:pStyle w:val="BodyText"/>
        <w:rPr>
          <w:sz w:val="24"/>
        </w:rPr>
      </w:pPr>
      <w:r>
        <w:rPr>
          <w:sz w:val="24"/>
        </w:rPr>
      </w:r>
    </w:p>
    <w:p>
      <w:pPr>
        <w:pStyle w:val="BodyText"/>
        <w:rPr>
          <w:sz w:val="24"/>
        </w:rPr>
      </w:pPr>
      <w:r>
        <w:rPr>
          <w:sz w:val="24"/>
        </w:rPr>
        <w:t>_______</w:t>
        <w:tab/>
        <w:t xml:space="preserve">Option 2: </w:t>
        <w:tab/>
        <w:t>Monthly Cash Out</w:t>
      </w:r>
    </w:p>
    <w:p>
      <w:pPr>
        <w:pStyle w:val="BodyText"/>
        <w:rPr>
          <w:sz w:val="24"/>
        </w:rPr>
      </w:pPr>
      <w:r>
        <w:rPr>
          <w:sz w:val="24"/>
        </w:rPr>
      </w:r>
    </w:p>
    <w:p>
      <w:pPr>
        <w:pStyle w:val="BodyText"/>
        <w:rPr>
          <w:sz w:val="24"/>
        </w:rPr>
      </w:pPr>
      <w:r>
        <w:rPr>
          <w:sz w:val="24"/>
        </w:rPr>
        <w:t>_______</w:t>
        <w:tab/>
        <w:t xml:space="preserve">Option 3: </w:t>
        <w:tab/>
        <w:t>Daily Cash Out (Electronic Measurement Required)</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t xml:space="preserve">VERY IMPORTANT!!!! </w:t>
      </w:r>
    </w:p>
    <w:p>
      <w:pPr>
        <w:pStyle w:val="BodyText"/>
        <w:rPr>
          <w:sz w:val="24"/>
        </w:rPr>
      </w:pPr>
      <w:r>
        <w:rPr>
          <w:sz w:val="24"/>
        </w:rPr>
      </w:r>
    </w:p>
    <w:p>
      <w:pPr>
        <w:pStyle w:val="BodyText"/>
        <w:rPr/>
      </w:pPr>
      <w:r>
        <w:rPr>
          <w:sz w:val="24"/>
        </w:rPr>
        <w:t xml:space="preserve">Please complete the information above and below and fax to GDS Department @ (412) 572-7161 </w:t>
      </w:r>
      <w:r>
        <w:rPr>
          <w:sz w:val="24"/>
          <w:u w:val="single"/>
        </w:rPr>
        <w:t>by November 12, 2001</w:t>
      </w:r>
      <w:r>
        <w:rPr>
          <w:sz w:val="24"/>
        </w:rPr>
        <w:t>.</w:t>
      </w:r>
    </w:p>
    <w:p>
      <w:pPr>
        <w:pStyle w:val="BodyText"/>
        <w:rPr>
          <w:sz w:val="24"/>
        </w:rPr>
      </w:pPr>
      <w:r>
        <w:rPr>
          <w:sz w:val="24"/>
        </w:rPr>
      </w:r>
    </w:p>
    <w:p>
      <w:pPr>
        <w:pStyle w:val="BodyText"/>
        <w:rPr>
          <w:sz w:val="24"/>
        </w:rPr>
      </w:pPr>
      <w:r>
        <w:rPr>
          <w:sz w:val="24"/>
        </w:rPr>
      </w:r>
    </w:p>
    <w:p>
      <w:pPr>
        <w:pStyle w:val="BodyText"/>
        <w:rPr>
          <w:b w:val="false"/>
          <w:sz w:val="24"/>
        </w:rPr>
      </w:pPr>
      <w:r>
        <w:rPr>
          <w:b w:val="false"/>
          <w:sz w:val="24"/>
        </w:rPr>
        <w:t>Name</w:t>
        <w:tab/>
        <w:tab/>
        <w:t>____________________________________</w:t>
      </w:r>
    </w:p>
    <w:p>
      <w:pPr>
        <w:pStyle w:val="BodyText"/>
        <w:rPr>
          <w:b w:val="false"/>
          <w:sz w:val="24"/>
        </w:rPr>
      </w:pPr>
      <w:r>
        <w:rPr>
          <w:b w:val="false"/>
          <w:sz w:val="24"/>
        </w:rPr>
        <w:t>Company</w:t>
        <w:tab/>
        <w:t>____________________________________</w:t>
      </w:r>
    </w:p>
    <w:p>
      <w:pPr>
        <w:pStyle w:val="BodyText"/>
        <w:rPr>
          <w:b w:val="false"/>
          <w:sz w:val="24"/>
        </w:rPr>
      </w:pPr>
      <w:r>
        <w:rPr>
          <w:b w:val="false"/>
          <w:sz w:val="24"/>
        </w:rPr>
        <w:t>Signature</w:t>
        <w:tab/>
        <w:t>____________________________________</w:t>
      </w:r>
    </w:p>
    <w:p>
      <w:pPr>
        <w:pStyle w:val="BodyText"/>
        <w:rPr>
          <w:b w:val="false"/>
          <w:sz w:val="24"/>
        </w:rPr>
      </w:pPr>
      <w:r>
        <w:rPr>
          <w:b w:val="false"/>
          <w:sz w:val="24"/>
        </w:rPr>
        <w:t>Date</w:t>
        <w:tab/>
        <w:tab/>
        <w:t>____________________________________</w:t>
      </w:r>
    </w:p>
    <w:p>
      <w:pPr>
        <w:pStyle w:val="BodyText"/>
        <w:rPr>
          <w:b w:val="false"/>
          <w:sz w:val="24"/>
        </w:rPr>
      </w:pPr>
      <w:r>
        <w:rPr>
          <w:b w:val="false"/>
          <w:sz w:val="24"/>
        </w:rPr>
        <w:t>Account #</w:t>
        <w:tab/>
        <w:t>____________________________________</w:t>
      </w:r>
    </w:p>
    <w:p>
      <w:pPr>
        <w:pStyle w:val="BodyText"/>
        <w:rPr>
          <w:b w:val="false"/>
          <w:sz w:val="24"/>
        </w:rPr>
      </w:pPr>
      <w:r>
        <w:rPr>
          <w:b w:val="false"/>
          <w:sz w:val="24"/>
        </w:rPr>
        <w:t>PCID #</w:t>
        <w:tab/>
        <w:t>____________________________________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48"/>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48"/>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2001-10-17T16:12:00Z</dcterms:created>
  <dc:creator>phillip m Sabol</dc:creator>
  <dc:description/>
  <dc:language>en-CA</dc:language>
  <cp:lastModifiedBy>Columbia Gas of Pa/Md</cp:lastModifiedBy>
  <cp:lastPrinted>2001-10-17T14:36:00Z</cp:lastPrinted>
  <dcterms:modified xsi:type="dcterms:W3CDTF">2001-10-17T16:12:00Z</dcterms:modified>
  <cp:revision>2</cp:revision>
  <dc:subject/>
  <dc:title>Columbia Gas of Pennsylvania</dc:title>
</cp:coreProperties>
</file>