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u w:val="none"/>
        </w:rPr>
      </w:pPr>
      <w:r>
        <w:rPr/>
        <w:t>CONFIDENTIAL/FOR INTERNAL USE ONLY</w:t>
      </w:r>
    </w:p>
    <w:p>
      <w:pPr>
        <w:pStyle w:val="Normal"/>
        <w:jc w:val="center"/>
        <w:rPr>
          <w:u w:val="none"/>
        </w:rPr>
      </w:pPr>
      <w:r>
        <w:rPr>
          <w:u w:val="none"/>
        </w:rPr>
      </w:r>
    </w:p>
    <w:p>
      <w:pPr>
        <w:pStyle w:val="Normal"/>
        <w:jc w:val="center"/>
        <w:rPr/>
      </w:pPr>
      <w:r>
        <w:rPr/>
        <w:t xml:space="preserve">Draft Term Sheet </w:t>
      </w:r>
    </w:p>
    <w:p>
      <w:pPr>
        <w:pStyle w:val="Normal"/>
        <w:tabs>
          <w:tab w:val="clear" w:pos="720"/>
          <w:tab w:val="right" w:pos="693" w:leader="none"/>
          <w:tab w:val="right" w:pos="1413" w:leader="none"/>
          <w:tab w:val="right" w:pos="2178" w:leader="none"/>
          <w:tab w:val="right" w:pos="2853" w:leader="none"/>
          <w:tab w:val="right" w:pos="3600" w:leader="none"/>
        </w:tabs>
        <w:jc w:val="center"/>
        <w:rPr/>
      </w:pPr>
      <w:r>
        <w:rPr/>
      </w:r>
    </w:p>
    <w:p>
      <w:pPr>
        <w:pStyle w:val="Heading3"/>
        <w:tabs>
          <w:tab w:val="clear" w:pos="720"/>
          <w:tab w:val="right" w:pos="693" w:leader="none"/>
          <w:tab w:val="right" w:pos="1413" w:leader="none"/>
          <w:tab w:val="right" w:pos="2178" w:leader="none"/>
          <w:tab w:val="right" w:pos="2853" w:leader="none"/>
          <w:tab w:val="right" w:pos="3600" w:leader="none"/>
        </w:tabs>
        <w:ind w:hanging="0" w:start="0"/>
        <w:rPr>
          <w:u w:val="none"/>
        </w:rPr>
      </w:pPr>
      <w:r>
        <w:rPr/>
        <w:t>The Broadband Buildout and Internet Access Act of 2001 (“BBIA Act”)</w:t>
      </w:r>
    </w:p>
    <w:p>
      <w:pPr>
        <w:pStyle w:val="FootnoteText"/>
        <w:tabs>
          <w:tab w:val="clear" w:pos="720"/>
          <w:tab w:val="right" w:pos="693" w:leader="none"/>
          <w:tab w:val="right" w:pos="1413" w:leader="none"/>
          <w:tab w:val="right" w:pos="2178" w:leader="none"/>
          <w:tab w:val="right" w:pos="2853" w:leader="none"/>
          <w:tab w:val="right" w:pos="3600" w:leader="none"/>
        </w:tabs>
        <w:jc w:val="start"/>
        <w:rPr>
          <w:u w:val="none"/>
        </w:rPr>
      </w:pPr>
      <w:r>
        <w:rPr>
          <w:u w:val="none"/>
        </w:rPr>
      </w:r>
    </w:p>
    <w:p>
      <w:pPr>
        <w:pStyle w:val="Normal"/>
        <w:tabs>
          <w:tab w:val="clear" w:pos="720"/>
          <w:tab w:val="right" w:pos="693" w:leader="none"/>
          <w:tab w:val="right" w:pos="1413" w:leader="none"/>
          <w:tab w:val="decimal" w:pos="1503" w:leader="none"/>
          <w:tab w:val="right" w:pos="2178" w:leader="none"/>
          <w:tab w:val="right" w:pos="2853" w:leader="none"/>
          <w:tab w:val="right" w:pos="3600" w:leader="none"/>
          <w:tab w:val="decimal" w:pos="4302" w:leader="none"/>
        </w:tabs>
        <w:ind w:hanging="720" w:start="720" w:end="0"/>
        <w:jc w:val="start"/>
        <w:rPr/>
      </w:pPr>
      <w:r>
        <w:rPr/>
        <w:t>I.</w:t>
        <w:tab/>
        <w:tab/>
      </w:r>
      <w:r>
        <w:rPr>
          <w:u w:val="single"/>
        </w:rPr>
        <w:t>Purpose and Objective of the BBIA Act</w:t>
      </w:r>
    </w:p>
    <w:p>
      <w:pPr>
        <w:pStyle w:val="Normal"/>
        <w:tabs>
          <w:tab w:val="clear" w:pos="720"/>
          <w:tab w:val="right" w:pos="693" w:leader="none"/>
          <w:tab w:val="right" w:pos="1413" w:leader="none"/>
          <w:tab w:val="right" w:pos="2178" w:leader="none"/>
          <w:tab w:val="right" w:pos="2853" w:leader="none"/>
          <w:tab w:val="right" w:pos="3600" w:leader="none"/>
        </w:tabs>
        <w:jc w:val="start"/>
        <w:rPr/>
      </w:pPr>
      <w:r>
        <w:rPr/>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ind w:start="693" w:end="0"/>
        <w:jc w:val="start"/>
        <w:rPr/>
      </w:pPr>
      <w:r>
        <w:rPr/>
        <w:t xml:space="preserve">With federal government leadership and support, the BBIA Act will create a policy framework that encourages American industry to establish high-capacity communication links for every home and business in America at the earliest possible time. </w:t>
      </w:r>
    </w:p>
    <w:p>
      <w:pPr>
        <w:pStyle w:val="BodyTextIndent2"/>
        <w:tabs>
          <w:tab w:val="clear" w:pos="90"/>
          <w:tab w:val="clear" w:pos="720"/>
          <w:tab w:val="right" w:pos="693" w:leader="none"/>
          <w:tab w:val="right" w:pos="1413" w:leader="none"/>
          <w:tab w:val="left" w:pos="1440" w:leader="none"/>
          <w:tab w:val="right" w:pos="2178" w:leader="none"/>
          <w:tab w:val="right" w:pos="2853" w:leader="none"/>
          <w:tab w:val="right" w:pos="3600" w:leader="none"/>
        </w:tabs>
        <w:ind w:start="693" w:end="0"/>
        <w:jc w:val="start"/>
        <w:rPr/>
      </w:pPr>
      <w:r>
        <w:rPr/>
      </w:r>
    </w:p>
    <w:p>
      <w:pPr>
        <w:pStyle w:val="BodyTextIndent2"/>
        <w:tabs>
          <w:tab w:val="clear" w:pos="90"/>
          <w:tab w:val="clear" w:pos="720"/>
          <w:tab w:val="right" w:pos="693" w:leader="none"/>
          <w:tab w:val="right" w:pos="1413" w:leader="none"/>
          <w:tab w:val="left" w:pos="1440" w:leader="none"/>
          <w:tab w:val="right" w:pos="2178" w:leader="none"/>
          <w:tab w:val="right" w:pos="2853" w:leader="none"/>
          <w:tab w:val="right" w:pos="3600" w:leader="none"/>
        </w:tabs>
        <w:ind w:start="693" w:end="0"/>
        <w:jc w:val="start"/>
        <w:rPr/>
      </w:pPr>
      <w:r>
        <w:rPr/>
        <w:t xml:space="preserve">The BBIA Act will provide incentives for industry and consumers to develop and install modern last mile communications infrastructure, using fiber optic cable or alternative wired/wireless technology systems.   The Act will help establish the goal of providing all households and business premises with access to bandwidth with capacity of at least 1.5 megabits per second data transfer and scalable for future advances in technology.  If achieved, this bandwidth objective will establish a much higher capacity service than is currently available.  The BBIA Act is consistent with the spirit of government-business cooperation embodied in the Telecommunications Act of 1996 and the Federal Communications Commission’s (“FCC”) policy to encourage investment in telecommunications and promote the rapid, widespread deployment of high-speed telecommunications services.  </w:t>
      </w:r>
    </w:p>
    <w:p>
      <w:pPr>
        <w:pStyle w:val="BodyTextIndent2"/>
        <w:tabs>
          <w:tab w:val="clear" w:pos="90"/>
          <w:tab w:val="clear" w:pos="720"/>
          <w:tab w:val="right" w:pos="693" w:leader="none"/>
          <w:tab w:val="right" w:pos="1413" w:leader="none"/>
          <w:tab w:val="left" w:pos="1440" w:leader="none"/>
          <w:tab w:val="right" w:pos="2178" w:leader="none"/>
          <w:tab w:val="right" w:pos="2853" w:leader="none"/>
          <w:tab w:val="right" w:pos="3600" w:leader="none"/>
        </w:tabs>
        <w:ind w:start="0" w:end="0"/>
        <w:jc w:val="start"/>
        <w:rPr/>
      </w:pPr>
      <w:r>
        <w:rPr/>
      </w:r>
    </w:p>
    <w:p>
      <w:pPr>
        <w:pStyle w:val="BodyTextIndent2"/>
        <w:tabs>
          <w:tab w:val="clear" w:pos="90"/>
          <w:tab w:val="clear" w:pos="720"/>
          <w:tab w:val="right" w:pos="693" w:leader="none"/>
          <w:tab w:val="right" w:pos="1413" w:leader="none"/>
          <w:tab w:val="left" w:pos="1440" w:leader="none"/>
          <w:tab w:val="right" w:pos="2178" w:leader="none"/>
          <w:tab w:val="right" w:pos="2853" w:leader="none"/>
          <w:tab w:val="right" w:pos="3600" w:leader="none"/>
        </w:tabs>
        <w:ind w:start="0" w:end="0"/>
        <w:jc w:val="start"/>
        <w:rPr/>
      </w:pPr>
      <w:r>
        <w:rPr/>
        <w:t xml:space="preserve">II. </w:t>
        <w:tab/>
        <w:tab/>
      </w:r>
      <w:r>
        <w:rPr>
          <w:u w:val="single"/>
        </w:rPr>
        <w:t>Underlying Need for the BBIA Act</w:t>
      </w:r>
    </w:p>
    <w:p>
      <w:pPr>
        <w:pStyle w:val="BodyTextIndent2"/>
        <w:tabs>
          <w:tab w:val="clear" w:pos="90"/>
          <w:tab w:val="clear" w:pos="720"/>
          <w:tab w:val="right" w:pos="693" w:leader="none"/>
          <w:tab w:val="right" w:pos="1413" w:leader="none"/>
          <w:tab w:val="left" w:pos="1440" w:leader="none"/>
          <w:tab w:val="right" w:pos="2178" w:leader="none"/>
          <w:tab w:val="right" w:pos="2853" w:leader="none"/>
          <w:tab w:val="right" w:pos="3600" w:leader="none"/>
        </w:tabs>
        <w:ind w:start="0" w:end="0"/>
        <w:jc w:val="start"/>
        <w:rPr/>
      </w:pPr>
      <w:r>
        <w:rPr/>
      </w:r>
    </w:p>
    <w:p>
      <w:pPr>
        <w:pStyle w:val="BodyTextIndent2"/>
        <w:tabs>
          <w:tab w:val="clear" w:pos="90"/>
          <w:tab w:val="clear" w:pos="720"/>
          <w:tab w:val="right" w:pos="693" w:leader="none"/>
          <w:tab w:val="right" w:pos="2178" w:leader="none"/>
          <w:tab w:val="right" w:pos="2853" w:leader="none"/>
          <w:tab w:val="right" w:pos="3600" w:leader="none"/>
        </w:tabs>
        <w:ind w:start="690" w:end="0"/>
        <w:jc w:val="start"/>
        <w:rPr/>
      </w:pPr>
      <w:r>
        <w:rPr/>
        <w:t xml:space="preserve">The American telecommunications network is limited in capacity and reach.   According to the FCC, only 2.8 million American homes and small businesses had high-speed (200 kilobits per second) communications capabilities for both upstream and downstream transfers in June 2000; approximately 4.3 million homes had one-way high-speed capability.  At this time, very few homes have even T-1 (1.5 megabits per second) or greater capacity.  </w:t>
      </w:r>
      <w:r>
        <w:rPr>
          <w:i/>
        </w:rPr>
        <w:t>See</w:t>
      </w:r>
      <w:r>
        <w:rPr/>
        <w:t xml:space="preserve"> Federal Communications Commission, </w:t>
      </w:r>
      <w:r>
        <w:rPr>
          <w:i/>
        </w:rPr>
        <w:t>High-Speed Services for Internet Access: Subscribership as of June 30, 2000</w:t>
      </w:r>
      <w:r>
        <w:rPr/>
        <w:t xml:space="preserve">, p.2-3, (2000), </w:t>
      </w:r>
      <w:hyperlink r:id="rId2">
        <w:r>
          <w:rPr>
            <w:rStyle w:val="Hyperlink"/>
          </w:rPr>
          <w:t>http://www.fcc.gov/ccb/stats</w:t>
        </w:r>
      </w:hyperlink>
      <w:r>
        <w:rPr/>
        <w:t>.</w:t>
      </w:r>
    </w:p>
    <w:p>
      <w:pPr>
        <w:pStyle w:val="BodyTextIndent2"/>
        <w:tabs>
          <w:tab w:val="clear" w:pos="90"/>
          <w:tab w:val="right" w:pos="693" w:leader="none"/>
          <w:tab w:val="right" w:pos="720" w:leader="none"/>
          <w:tab w:val="right" w:pos="2178" w:leader="none"/>
          <w:tab w:val="right" w:pos="2853" w:leader="none"/>
          <w:tab w:val="right" w:pos="3600" w:leader="none"/>
        </w:tabs>
        <w:jc w:val="start"/>
        <w:rPr>
          <w:u w:val="single"/>
        </w:rPr>
      </w:pPr>
      <w:r>
        <w:rPr>
          <w:u w:val="single"/>
        </w:rPr>
      </w:r>
    </w:p>
    <w:p>
      <w:pPr>
        <w:pStyle w:val="BodyTextIndent2"/>
        <w:tabs>
          <w:tab w:val="clear" w:pos="90"/>
          <w:tab w:val="right" w:pos="693" w:leader="none"/>
          <w:tab w:val="right" w:pos="720" w:leader="none"/>
          <w:tab w:val="right" w:pos="2178" w:leader="none"/>
          <w:tab w:val="right" w:pos="2853" w:leader="none"/>
          <w:tab w:val="right" w:pos="3600" w:leader="none"/>
        </w:tabs>
        <w:jc w:val="start"/>
        <w:rPr/>
      </w:pPr>
      <w:r>
        <w:rPr/>
        <w:t xml:space="preserve">In addition, rural areas of the country, often those possessing the greatest need for remotely delivered services, are even less served by high-speed lines than densely populated areas.   According to the FCC, 60% of the zip codes with the lowest population densities have no subscribers of high-speed service, while 96% of the most densely populated zip codes report having subscribers.  </w:t>
      </w:r>
      <w:r>
        <w:rPr>
          <w:i/>
        </w:rPr>
        <w:t xml:space="preserve">See </w:t>
      </w:r>
      <w:r>
        <w:rPr/>
        <w:t xml:space="preserve">Federal Communications Commission, </w:t>
      </w:r>
      <w:r>
        <w:rPr>
          <w:i/>
        </w:rPr>
        <w:t>High-Speed Services for Internet Access: Subscribership as of June 30, 2000</w:t>
      </w:r>
      <w:r>
        <w:rPr/>
        <w:t xml:space="preserve">, p.4, (2000), </w:t>
      </w:r>
      <w:hyperlink r:id="rId3">
        <w:r>
          <w:rPr>
            <w:rStyle w:val="Hyperlink"/>
          </w:rPr>
          <w:t>http://www.fcc.gov/ccb/stats</w:t>
        </w:r>
      </w:hyperlink>
      <w:r>
        <w:rPr/>
        <w:t xml:space="preserve">. </w:t>
      </w:r>
    </w:p>
    <w:p>
      <w:pPr>
        <w:pStyle w:val="BodyTextIndent2"/>
        <w:tabs>
          <w:tab w:val="clear" w:pos="90"/>
          <w:tab w:val="right" w:pos="693" w:leader="none"/>
          <w:tab w:val="right" w:pos="720" w:leader="none"/>
          <w:tab w:val="right" w:pos="2178" w:leader="none"/>
          <w:tab w:val="right" w:pos="2853" w:leader="none"/>
          <w:tab w:val="right" w:pos="3600" w:leader="none"/>
        </w:tabs>
        <w:jc w:val="start"/>
        <w:rPr/>
      </w:pPr>
      <w:r>
        <w:rPr/>
      </w:r>
    </w:p>
    <w:p>
      <w:pPr>
        <w:pStyle w:val="BodyTextIndent2"/>
        <w:tabs>
          <w:tab w:val="clear" w:pos="90"/>
          <w:tab w:val="right" w:pos="693" w:leader="none"/>
          <w:tab w:val="right" w:pos="720" w:leader="none"/>
          <w:tab w:val="right" w:pos="2178" w:leader="none"/>
          <w:tab w:val="right" w:pos="2853" w:leader="none"/>
          <w:tab w:val="right" w:pos="3600" w:leader="none"/>
        </w:tabs>
        <w:jc w:val="start"/>
        <w:rPr/>
      </w:pPr>
      <w:r>
        <w:rPr/>
        <w:t>The current local telecommunications structure is obsolete.  In light of technologies such as dense wave division multiplexing enabling terabit-per-second speeds for single fiber strands and growing optical network capability, existing “high-speed connections” soon will be unable to provide desirable and technologically feasible levels of service to consumers.  Some additional examples are set forth below:</w:t>
      </w:r>
    </w:p>
    <w:p>
      <w:pPr>
        <w:pStyle w:val="BodyTextIndent2"/>
        <w:tabs>
          <w:tab w:val="clear" w:pos="90"/>
          <w:tab w:val="right" w:pos="693" w:leader="none"/>
          <w:tab w:val="right" w:pos="720" w:leader="none"/>
          <w:tab w:val="right" w:pos="2178" w:leader="none"/>
          <w:tab w:val="right" w:pos="2853" w:leader="none"/>
          <w:tab w:val="right" w:pos="3600" w:leader="none"/>
        </w:tabs>
        <w:jc w:val="start"/>
        <w:rPr/>
      </w:pPr>
      <w:r>
        <w:rPr/>
      </w:r>
    </w:p>
    <w:p>
      <w:pPr>
        <w:pStyle w:val="BodyTextIndent2"/>
        <w:numPr>
          <w:ilvl w:val="0"/>
          <w:numId w:val="5"/>
        </w:numPr>
        <w:tabs>
          <w:tab w:val="clear" w:pos="90"/>
          <w:tab w:val="right" w:pos="693" w:leader="none"/>
          <w:tab w:val="right" w:pos="720" w:leader="none"/>
          <w:tab w:val="right" w:pos="2178" w:leader="none"/>
          <w:tab w:val="right" w:pos="2853" w:leader="none"/>
          <w:tab w:val="right" w:pos="3600" w:leader="none"/>
        </w:tabs>
        <w:jc w:val="start"/>
        <w:rPr/>
      </w:pPr>
      <w:r>
        <w:rPr/>
        <w:t xml:space="preserve">Cable television service is unreliable and limited in capacity. Most cable infrastructure was installed for one-way video delivery and has neither the architecture nor capacity for multi-megabit per second two-way data delivery.  </w:t>
      </w:r>
    </w:p>
    <w:p>
      <w:pPr>
        <w:pStyle w:val="BodyTextIndent2"/>
        <w:tabs>
          <w:tab w:val="clear" w:pos="90"/>
          <w:tab w:val="clear" w:pos="720"/>
          <w:tab w:val="right" w:pos="693" w:leader="none"/>
          <w:tab w:val="right" w:pos="2178" w:leader="none"/>
          <w:tab w:val="right" w:pos="2853" w:leader="none"/>
          <w:tab w:val="right" w:pos="3600" w:leader="none"/>
        </w:tabs>
        <w:ind w:start="2160" w:end="0"/>
        <w:jc w:val="start"/>
        <w:rPr/>
      </w:pPr>
      <w:r>
        <w:rPr/>
      </w:r>
    </w:p>
    <w:p>
      <w:pPr>
        <w:pStyle w:val="BodyTextIndent2"/>
        <w:numPr>
          <w:ilvl w:val="0"/>
          <w:numId w:val="5"/>
        </w:numPr>
        <w:tabs>
          <w:tab w:val="clear" w:pos="90"/>
          <w:tab w:val="clear" w:pos="720"/>
          <w:tab w:val="right" w:pos="693" w:leader="none"/>
          <w:tab w:val="right" w:pos="2970" w:leader="none"/>
          <w:tab w:val="right" w:pos="3600" w:leader="none"/>
        </w:tabs>
        <w:jc w:val="start"/>
        <w:rPr/>
      </w:pPr>
      <w:r>
        <w:rPr/>
        <w:t>Digital Subscriber Lines (“DSL”) are made available only to customers within 15,000 feet of a telephone home office, are tied to legacy switching systems, and typically provide transmission speeds of less than one megabit per second.  Even advanced DSL service will have far less capacity than a single fiber optic cable pair.</w:t>
      </w:r>
    </w:p>
    <w:p>
      <w:pPr>
        <w:pStyle w:val="BodyTextIndent2"/>
        <w:tabs>
          <w:tab w:val="clear" w:pos="90"/>
          <w:tab w:val="clear" w:pos="720"/>
          <w:tab w:val="right" w:pos="693" w:leader="none"/>
          <w:tab w:val="right" w:pos="2970" w:leader="none"/>
          <w:tab w:val="right" w:pos="3600" w:leader="none"/>
        </w:tabs>
        <w:ind w:start="690" w:end="0"/>
        <w:jc w:val="start"/>
        <w:rPr/>
      </w:pPr>
      <w:r>
        <w:rPr/>
      </w:r>
    </w:p>
    <w:p>
      <w:pPr>
        <w:pStyle w:val="BodyTextIndent2"/>
        <w:numPr>
          <w:ilvl w:val="0"/>
          <w:numId w:val="5"/>
        </w:numPr>
        <w:tabs>
          <w:tab w:val="clear" w:pos="90"/>
          <w:tab w:val="clear" w:pos="720"/>
          <w:tab w:val="right" w:pos="693" w:leader="none"/>
          <w:tab w:val="right" w:pos="2880" w:leader="none"/>
          <w:tab w:val="right" w:pos="3600" w:leader="none"/>
        </w:tabs>
        <w:jc w:val="start"/>
        <w:rPr/>
      </w:pPr>
      <w:r>
        <w:rPr/>
        <w:t>Existing wireless data systems provide faster connectivity than cable or DSL, but have far less capacity than fiber, are subject to atmospheric interference, and are not available in all parts of the country.  Further, satellite systems typically lack convenient two-way capacity.</w:t>
        <w:tab/>
        <w:t xml:space="preserve"> </w:t>
      </w:r>
    </w:p>
    <w:p>
      <w:pPr>
        <w:pStyle w:val="BodyTextIndent2"/>
        <w:tabs>
          <w:tab w:val="clear" w:pos="90"/>
          <w:tab w:val="clear" w:pos="720"/>
          <w:tab w:val="right" w:pos="693" w:leader="none"/>
          <w:tab w:val="right" w:pos="2880" w:leader="none"/>
          <w:tab w:val="right" w:pos="3600" w:leader="none"/>
        </w:tabs>
        <w:ind w:start="0" w:end="0"/>
        <w:jc w:val="start"/>
        <w:rPr/>
      </w:pPr>
      <w:r>
        <w:rPr/>
      </w:r>
    </w:p>
    <w:p>
      <w:pPr>
        <w:pStyle w:val="BodyTextIndent2"/>
        <w:numPr>
          <w:ilvl w:val="0"/>
          <w:numId w:val="5"/>
        </w:numPr>
        <w:tabs>
          <w:tab w:val="clear" w:pos="90"/>
          <w:tab w:val="clear" w:pos="720"/>
          <w:tab w:val="right" w:pos="693" w:leader="none"/>
          <w:tab w:val="right" w:pos="2853" w:leader="none"/>
          <w:tab w:val="right" w:pos="3600" w:leader="none"/>
        </w:tabs>
        <w:jc w:val="start"/>
        <w:rPr/>
      </w:pPr>
      <w:r>
        <w:rPr/>
        <w:t>Aging public switched telephone networks have severely limited transmission speeds and are being slowly replaced by optical networks.</w:t>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ind w:start="0" w:end="0"/>
        <w:jc w:val="start"/>
        <w:rPr/>
      </w:pPr>
      <w:r>
        <w:rPr/>
      </w:r>
    </w:p>
    <w:p>
      <w:pPr>
        <w:pStyle w:val="BodyTextIndent2"/>
        <w:tabs>
          <w:tab w:val="clear" w:pos="90"/>
          <w:tab w:val="clear" w:pos="720"/>
          <w:tab w:val="right" w:pos="693" w:leader="none"/>
          <w:tab w:val="right" w:pos="1413" w:leader="none"/>
          <w:tab w:val="left" w:pos="2070" w:leader="none"/>
          <w:tab w:val="right" w:pos="2178" w:leader="none"/>
          <w:tab w:val="right" w:pos="2853" w:leader="none"/>
          <w:tab w:val="right" w:pos="3600" w:leader="none"/>
        </w:tabs>
        <w:ind w:hanging="690" w:start="690" w:end="0"/>
        <w:jc w:val="start"/>
        <w:rPr/>
      </w:pPr>
      <w:r>
        <w:rPr/>
        <w:t>III.</w:t>
        <w:tab/>
        <w:tab/>
      </w:r>
      <w:r>
        <w:rPr>
          <w:u w:val="single"/>
        </w:rPr>
        <w:t>Government Support is Necessary to Accelerate Deployment of Modern Last-Mile Connectivity</w:t>
      </w:r>
    </w:p>
    <w:p>
      <w:pPr>
        <w:pStyle w:val="BodyTextIndent2"/>
        <w:tabs>
          <w:tab w:val="clear" w:pos="90"/>
          <w:tab w:val="clear" w:pos="720"/>
          <w:tab w:val="right" w:pos="693" w:leader="none"/>
          <w:tab w:val="right" w:pos="1413" w:leader="none"/>
          <w:tab w:val="left" w:pos="2070" w:leader="none"/>
          <w:tab w:val="right" w:pos="2178" w:leader="none"/>
          <w:tab w:val="right" w:pos="2853" w:leader="none"/>
          <w:tab w:val="right" w:pos="3600" w:leader="none"/>
        </w:tabs>
        <w:ind w:start="0" w:end="0"/>
        <w:jc w:val="start"/>
        <w:rPr>
          <w:u w:val="single"/>
        </w:rPr>
      </w:pPr>
      <w:r>
        <w:rPr>
          <w:u w:val="single"/>
        </w:rPr>
      </w:r>
    </w:p>
    <w:p>
      <w:pPr>
        <w:pStyle w:val="BodyTextIndent2"/>
        <w:numPr>
          <w:ilvl w:val="0"/>
          <w:numId w:val="3"/>
        </w:numPr>
        <w:tabs>
          <w:tab w:val="clear" w:pos="90"/>
          <w:tab w:val="clear" w:pos="720"/>
          <w:tab w:val="right" w:pos="1440" w:leader="none"/>
          <w:tab w:val="right" w:pos="2178" w:leader="none"/>
          <w:tab w:val="right" w:pos="2853" w:leader="none"/>
          <w:tab w:val="right" w:pos="3600" w:leader="none"/>
        </w:tabs>
        <w:jc w:val="start"/>
        <w:rPr/>
      </w:pPr>
      <w:r>
        <w:rPr/>
        <w:t xml:space="preserve">Appropriate incentives are necessary to fund the build-out. </w:t>
      </w:r>
    </w:p>
    <w:p>
      <w:pPr>
        <w:pStyle w:val="BodyTextIndent2"/>
        <w:tabs>
          <w:tab w:val="clear" w:pos="90"/>
          <w:tab w:val="clear" w:pos="720"/>
          <w:tab w:val="right" w:pos="1440" w:leader="none"/>
          <w:tab w:val="right" w:pos="2178" w:leader="none"/>
          <w:tab w:val="right" w:pos="2853" w:leader="none"/>
          <w:tab w:val="right" w:pos="3600" w:leader="none"/>
        </w:tabs>
        <w:jc w:val="start"/>
        <w:rPr/>
      </w:pPr>
      <w:r>
        <w:rPr/>
      </w:r>
    </w:p>
    <w:p>
      <w:pPr>
        <w:pStyle w:val="BodyTextIndent2"/>
        <w:tabs>
          <w:tab w:val="clear" w:pos="90"/>
          <w:tab w:val="clear" w:pos="720"/>
          <w:tab w:val="right" w:pos="1440" w:leader="none"/>
          <w:tab w:val="right" w:pos="2178" w:leader="none"/>
          <w:tab w:val="right" w:pos="2853" w:leader="none"/>
          <w:tab w:val="right" w:pos="3600" w:leader="none"/>
        </w:tabs>
        <w:jc w:val="start"/>
        <w:rPr/>
      </w:pPr>
      <w:r>
        <w:rPr/>
        <w:t xml:space="preserve">Although the technical feasibility of fiber-to-the-home and fiber-to-the-desktop has been proven in practice, private capital has been allocated elsewhere because policy impediments preventing acceptable returns on investment have caused telecommunications companies to hesitate to complete the build-out.  Assuming 120 million residential and business premises in the United States and a buildout cost of $2,500 per premise for fiber installation, the national last mile buildout would cost approximately $300 billion.  According to the Census Bureau, the entire United States communications services sector invested only $78 billion in all communications structures, facilities and processing equipment in 1998; service, provisioning and other operational costs are not included in these estimates or census data.  </w:t>
      </w:r>
    </w:p>
    <w:p>
      <w:pPr>
        <w:pStyle w:val="BodyTextIndent2"/>
        <w:tabs>
          <w:tab w:val="clear" w:pos="90"/>
          <w:tab w:val="clear" w:pos="720"/>
          <w:tab w:val="right" w:pos="1440" w:leader="none"/>
          <w:tab w:val="right" w:pos="2178" w:leader="none"/>
          <w:tab w:val="right" w:pos="2853" w:leader="none"/>
          <w:tab w:val="right" w:pos="3600" w:leader="none"/>
        </w:tabs>
        <w:jc w:val="start"/>
        <w:rPr/>
      </w:pPr>
      <w:r>
        <w:rPr>
          <w:i/>
        </w:rPr>
        <w:t>See</w:t>
      </w:r>
      <w:r>
        <w:rPr/>
        <w:t xml:space="preserve"> United States Census Bureau, </w:t>
      </w:r>
      <w:r>
        <w:rPr>
          <w:i/>
        </w:rPr>
        <w:t>American Housing Survey</w:t>
      </w:r>
      <w:r>
        <w:rPr/>
        <w:t>, &lt;</w:t>
      </w:r>
      <w:hyperlink r:id="rId4">
        <w:r>
          <w:rPr>
            <w:rStyle w:val="Hyperlink"/>
          </w:rPr>
          <w:t>http://www.census.gov/hhes/www/housing/ahs/97dtchrt/tab2-1.html</w:t>
        </w:r>
      </w:hyperlink>
      <w:r>
        <w:rPr/>
        <w:t xml:space="preserve">&gt;; and United States Census Bureau, </w:t>
      </w:r>
      <w:r>
        <w:rPr>
          <w:i/>
        </w:rPr>
        <w:t>Annual Capital Expenditures Survey: 1998</w:t>
      </w:r>
      <w:r>
        <w:rPr/>
        <w:t>, &lt;</w:t>
      </w:r>
      <w:hyperlink r:id="rId5">
        <w:r>
          <w:rPr>
            <w:rStyle w:val="Hyperlink"/>
          </w:rPr>
          <w:t>http://www.census.gov/csd/ace/view/ace98.html</w:t>
        </w:r>
      </w:hyperlink>
      <w:r>
        <w:rPr/>
        <w:t>&gt;).</w:t>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jc w:val="start"/>
        <w:rPr/>
      </w:pPr>
      <w:r>
        <w:rPr/>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jc w:val="start"/>
        <w:rPr/>
      </w:pPr>
      <w:r>
        <w:rPr/>
        <w:t>Cable deployment demonstrates the slow growth of delivery of privately financed, advanced communications capability.  According to the National Cable Television Association, cable subscribership has experienced the following growth:</w:t>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jc w:val="start"/>
        <w:rPr/>
      </w:pPr>
      <w:r>
        <w:rPr/>
      </w:r>
    </w:p>
    <w:p>
      <w:pPr>
        <w:pStyle w:val="BodyTextIndent2"/>
        <w:numPr>
          <w:ilvl w:val="0"/>
          <w:numId w:val="2"/>
        </w:numPr>
        <w:tabs>
          <w:tab w:val="clear" w:pos="90"/>
          <w:tab w:val="clear" w:pos="720"/>
          <w:tab w:val="right" w:pos="693" w:leader="none"/>
          <w:tab w:val="right" w:pos="1413" w:leader="none"/>
          <w:tab w:val="right" w:pos="2178" w:leader="none"/>
          <w:tab w:val="right" w:pos="3600" w:leader="none"/>
        </w:tabs>
        <w:jc w:val="start"/>
        <w:rPr/>
      </w:pPr>
      <w:r>
        <w:rPr/>
        <w:t>1962: 850,000 homes</w:t>
      </w:r>
    </w:p>
    <w:p>
      <w:pPr>
        <w:pStyle w:val="BodyTextIndent2"/>
        <w:numPr>
          <w:ilvl w:val="0"/>
          <w:numId w:val="2"/>
        </w:numPr>
        <w:tabs>
          <w:tab w:val="clear" w:pos="90"/>
          <w:tab w:val="clear" w:pos="720"/>
          <w:tab w:val="right" w:pos="693" w:leader="none"/>
          <w:tab w:val="right" w:pos="1413" w:leader="none"/>
          <w:tab w:val="right" w:pos="2178" w:leader="none"/>
          <w:tab w:val="right" w:pos="3600" w:leader="none"/>
        </w:tabs>
        <w:jc w:val="start"/>
        <w:rPr/>
      </w:pPr>
      <w:r>
        <w:rPr/>
        <w:t>1980: 15 million homes</w:t>
      </w:r>
    </w:p>
    <w:p>
      <w:pPr>
        <w:pStyle w:val="BodyTextIndent2"/>
        <w:numPr>
          <w:ilvl w:val="0"/>
          <w:numId w:val="2"/>
        </w:numPr>
        <w:tabs>
          <w:tab w:val="clear" w:pos="90"/>
          <w:tab w:val="clear" w:pos="720"/>
          <w:tab w:val="right" w:pos="693" w:leader="none"/>
          <w:tab w:val="right" w:pos="1413" w:leader="none"/>
          <w:tab w:val="right" w:pos="2178" w:leader="none"/>
          <w:tab w:val="right" w:pos="3600" w:leader="none"/>
        </w:tabs>
        <w:jc w:val="start"/>
        <w:rPr/>
      </w:pPr>
      <w:r>
        <w:rPr/>
        <w:t>1990: 53 million homes</w:t>
      </w:r>
    </w:p>
    <w:p>
      <w:pPr>
        <w:pStyle w:val="BodyTextIndent2"/>
        <w:numPr>
          <w:ilvl w:val="0"/>
          <w:numId w:val="2"/>
        </w:numPr>
        <w:tabs>
          <w:tab w:val="clear" w:pos="90"/>
          <w:tab w:val="clear" w:pos="720"/>
          <w:tab w:val="right" w:pos="693" w:leader="none"/>
          <w:tab w:val="right" w:pos="1413" w:leader="none"/>
          <w:tab w:val="right" w:pos="2178" w:leader="none"/>
          <w:tab w:val="right" w:pos="3600" w:leader="none"/>
        </w:tabs>
        <w:jc w:val="start"/>
        <w:rPr/>
      </w:pPr>
      <w:r>
        <w:rPr/>
        <w:t>2000: 65 million homes</w:t>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ind w:start="333" w:end="0"/>
        <w:jc w:val="start"/>
        <w:rPr/>
      </w:pPr>
      <w:r>
        <w:rPr/>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jc w:val="start"/>
        <w:rPr/>
      </w:pPr>
      <w:r>
        <w:rPr>
          <w:i/>
        </w:rPr>
        <w:t>See</w:t>
      </w:r>
      <w:r>
        <w:rPr/>
        <w:t xml:space="preserve"> National Cable Television Association, </w:t>
      </w:r>
      <w:r>
        <w:rPr>
          <w:i/>
        </w:rPr>
        <w:t>The History of Cable Television</w:t>
      </w:r>
      <w:r>
        <w:rPr/>
        <w:t>, &lt;</w:t>
      </w:r>
      <w:hyperlink r:id="rId6">
        <w:r>
          <w:rPr>
            <w:rStyle w:val="Hyperlink"/>
          </w:rPr>
          <w:t>http://www.ncta.com/glance.html</w:t>
        </w:r>
      </w:hyperlink>
      <w:r>
        <w:rPr/>
        <w:t xml:space="preserve">&gt;.  To date, approximately one-third of the households in the United States do not have cable service.  </w:t>
      </w:r>
    </w:p>
    <w:p>
      <w:pPr>
        <w:pStyle w:val="BodyTextIndent2"/>
        <w:tabs>
          <w:tab w:val="clear" w:pos="90"/>
          <w:tab w:val="clear" w:pos="720"/>
          <w:tab w:val="right" w:pos="693" w:leader="none"/>
          <w:tab w:val="right" w:pos="1413" w:leader="none"/>
          <w:tab w:val="left" w:pos="2070" w:leader="none"/>
          <w:tab w:val="right" w:pos="2178" w:leader="none"/>
          <w:tab w:val="right" w:pos="2853" w:leader="none"/>
          <w:tab w:val="right" w:pos="3600" w:leader="none"/>
        </w:tabs>
        <w:ind w:start="0" w:end="0"/>
        <w:jc w:val="start"/>
        <w:rPr/>
      </w:pPr>
      <w:r>
        <w:rPr/>
      </w:r>
    </w:p>
    <w:p>
      <w:pPr>
        <w:pStyle w:val="BodyTextIndent2"/>
        <w:tabs>
          <w:tab w:val="clear" w:pos="90"/>
          <w:tab w:val="clear" w:pos="720"/>
          <w:tab w:val="right" w:pos="693" w:leader="none"/>
          <w:tab w:val="right" w:pos="1413" w:leader="none"/>
          <w:tab w:val="right" w:pos="2178" w:leader="none"/>
          <w:tab w:val="right" w:pos="2853" w:leader="none"/>
          <w:tab w:val="right" w:pos="3600" w:leader="none"/>
        </w:tabs>
        <w:ind w:hanging="693" w:start="1413" w:end="0"/>
        <w:jc w:val="start"/>
        <w:rPr/>
      </w:pPr>
      <w:r>
        <w:rPr/>
        <w:t xml:space="preserve">B.  </w:t>
        <w:tab/>
        <w:tab/>
        <w:t>The BBIA Act will help bridge the “digital divide” and will stimulate economic development.</w:t>
      </w:r>
    </w:p>
    <w:p>
      <w:pPr>
        <w:pStyle w:val="Normal"/>
        <w:tabs>
          <w:tab w:val="clear" w:pos="720"/>
          <w:tab w:val="right" w:pos="693" w:leader="none"/>
          <w:tab w:val="right" w:pos="1413" w:leader="none"/>
          <w:tab w:val="left" w:pos="2070" w:leader="none"/>
          <w:tab w:val="right" w:pos="2178" w:leader="none"/>
          <w:tab w:val="right" w:pos="2853" w:leader="none"/>
          <w:tab w:val="right" w:pos="3600" w:leader="none"/>
        </w:tabs>
        <w:jc w:val="start"/>
        <w:rPr/>
      </w:pPr>
      <w:r>
        <w:rPr/>
      </w:r>
    </w:p>
    <w:p>
      <w:pPr>
        <w:pStyle w:val="BodyTextIndent3"/>
        <w:tabs>
          <w:tab w:val="right" w:pos="693" w:leader="none"/>
          <w:tab w:val="right" w:pos="1413" w:leader="none"/>
          <w:tab w:val="left" w:pos="1440" w:leader="none"/>
          <w:tab w:val="right" w:pos="2853" w:leader="none"/>
          <w:tab w:val="right" w:pos="3600" w:leader="none"/>
        </w:tabs>
        <w:ind w:hanging="0" w:end="0"/>
        <w:jc w:val="start"/>
        <w:rPr/>
      </w:pPr>
      <w:r>
        <w:rPr/>
        <w:t xml:space="preserve">The BBIA Act will enable broadband access for all Americans in an effort to encourage improved health, safety and education.  The Act will provide special programs to help bridge the “digital divide” with grants, loans and other services for individuals, groups and regions that might be underserved by a privately financed communications network.  </w:t>
      </w:r>
    </w:p>
    <w:p>
      <w:pPr>
        <w:pStyle w:val="BodyTextIndent3"/>
        <w:tabs>
          <w:tab w:val="right" w:pos="693" w:leader="none"/>
          <w:tab w:val="right" w:pos="1413" w:leader="none"/>
          <w:tab w:val="left" w:pos="1440" w:leader="none"/>
          <w:tab w:val="right" w:pos="2853" w:leader="none"/>
          <w:tab w:val="right" w:pos="3600" w:leader="none"/>
        </w:tabs>
        <w:ind w:hanging="0" w:end="0"/>
        <w:jc w:val="start"/>
        <w:rPr/>
      </w:pPr>
      <w:r>
        <w:rPr/>
      </w:r>
    </w:p>
    <w:p>
      <w:pPr>
        <w:pStyle w:val="BodyTextIndent3"/>
        <w:tabs>
          <w:tab w:val="clear" w:pos="1440"/>
          <w:tab w:val="right" w:pos="693" w:leader="none"/>
          <w:tab w:val="right" w:pos="1413" w:leader="none"/>
          <w:tab w:val="right" w:pos="2880" w:leader="none"/>
          <w:tab w:val="right" w:pos="3600" w:leader="none"/>
        </w:tabs>
        <w:ind w:hanging="0" w:end="0"/>
        <w:jc w:val="start"/>
        <w:rPr/>
      </w:pPr>
      <w:r>
        <w:rPr/>
        <w:t xml:space="preserve">The BBIA Act will further develop America’s international technological and financial leadership by helping industry create a robust, high-capacity local telecommunications infrastructure that will support consumer services, encourage creation of new businesses, improve education opportunities and stimulate additional growth of the telecommunications network.  </w:t>
      </w:r>
    </w:p>
    <w:p>
      <w:pPr>
        <w:pStyle w:val="BodyTextIndent3"/>
        <w:tabs>
          <w:tab w:val="clear" w:pos="1440"/>
          <w:tab w:val="right" w:pos="693" w:leader="none"/>
          <w:tab w:val="right" w:pos="1413" w:leader="none"/>
          <w:tab w:val="right" w:pos="2880" w:leader="none"/>
          <w:tab w:val="right" w:pos="3600" w:leader="none"/>
        </w:tabs>
        <w:ind w:hanging="0" w:end="0"/>
        <w:jc w:val="start"/>
        <w:rPr/>
      </w:pPr>
      <w:r>
        <w:rPr/>
      </w:r>
    </w:p>
    <w:p>
      <w:pPr>
        <w:pStyle w:val="BodyTextIndent3"/>
        <w:tabs>
          <w:tab w:val="clear" w:pos="1440"/>
          <w:tab w:val="right" w:pos="693" w:leader="none"/>
          <w:tab w:val="right" w:pos="1413" w:leader="none"/>
          <w:tab w:val="right" w:pos="2880" w:leader="none"/>
          <w:tab w:val="right" w:pos="3600" w:leader="none"/>
        </w:tabs>
        <w:ind w:hanging="0" w:end="0"/>
        <w:jc w:val="start"/>
        <w:rPr/>
      </w:pPr>
      <w:r>
        <w:rPr/>
        <w:t xml:space="preserve">While existing federal programs address the need to expand telephony to rural and high cost areas, there is no current federal program that targets broadband access for every home and business. </w:t>
      </w:r>
    </w:p>
    <w:p>
      <w:pPr>
        <w:pStyle w:val="BodyTextIndent3"/>
        <w:tabs>
          <w:tab w:val="right" w:pos="693" w:leader="none"/>
          <w:tab w:val="right" w:pos="1413" w:leader="none"/>
          <w:tab w:val="left" w:pos="1440" w:leader="none"/>
          <w:tab w:val="right" w:pos="2178" w:leader="none"/>
          <w:tab w:val="right" w:pos="2853" w:leader="none"/>
          <w:tab w:val="right" w:pos="3600" w:leader="none"/>
        </w:tabs>
        <w:ind w:hanging="0" w:start="0" w:end="0"/>
        <w:jc w:val="start"/>
        <w:rPr/>
      </w:pPr>
      <w:r>
        <w:rPr/>
      </w:r>
    </w:p>
    <w:p>
      <w:pPr>
        <w:pStyle w:val="BodyTextIndent3"/>
        <w:tabs>
          <w:tab w:val="clear" w:pos="1440"/>
          <w:tab w:val="left" w:pos="0" w:leader="none"/>
          <w:tab w:val="right" w:pos="693" w:leader="none"/>
          <w:tab w:val="right" w:pos="1413" w:leader="none"/>
          <w:tab w:val="right" w:pos="2178" w:leader="none"/>
          <w:tab w:val="right" w:pos="2853" w:leader="none"/>
          <w:tab w:val="right" w:pos="3600" w:leader="none"/>
        </w:tabs>
        <w:ind w:hanging="0" w:start="0" w:end="0"/>
        <w:jc w:val="start"/>
        <w:rPr/>
      </w:pPr>
      <w:r>
        <w:rPr/>
        <w:t xml:space="preserve">IV. </w:t>
        <w:tab/>
      </w:r>
      <w:r>
        <w:rPr>
          <w:u w:val="single"/>
        </w:rPr>
        <w:tab/>
        <w:t>Financing the Buildout With Tax Incentives and a New Trust Fund</w:t>
      </w:r>
    </w:p>
    <w:p>
      <w:pPr>
        <w:pStyle w:val="BodyTextIndent3"/>
        <w:tabs>
          <w:tab w:val="right" w:pos="693" w:leader="none"/>
          <w:tab w:val="right" w:pos="1413" w:leader="none"/>
          <w:tab w:val="left" w:pos="1440" w:leader="none"/>
          <w:tab w:val="right" w:pos="2178" w:leader="none"/>
          <w:tab w:val="right" w:pos="2853" w:leader="none"/>
          <w:tab w:val="right" w:pos="3600" w:leader="none"/>
        </w:tabs>
        <w:ind w:hanging="0" w:end="0"/>
        <w:jc w:val="start"/>
        <w:rPr/>
      </w:pPr>
      <w:r>
        <w:rPr/>
      </w:r>
    </w:p>
    <w:p>
      <w:pPr>
        <w:pStyle w:val="BodyTextIndent3"/>
        <w:numPr>
          <w:ilvl w:val="0"/>
          <w:numId w:val="7"/>
        </w:numPr>
        <w:tabs>
          <w:tab w:val="right" w:pos="693" w:leader="none"/>
          <w:tab w:val="right" w:pos="1413" w:leader="none"/>
          <w:tab w:val="left" w:pos="1440" w:leader="none"/>
          <w:tab w:val="right" w:pos="2178" w:leader="none"/>
          <w:tab w:val="right" w:pos="2853" w:leader="none"/>
          <w:tab w:val="right" w:pos="3600" w:leader="none"/>
        </w:tabs>
        <w:jc w:val="start"/>
        <w:rPr/>
      </w:pPr>
      <w:r>
        <w:rPr/>
        <w:t xml:space="preserve">The BBIA Act will include significant tax incentives to encourage companies to build out the last mile of the communications network and to encourage businesses to install equipment that will support high-speed connectivity.  </w:t>
      </w:r>
    </w:p>
    <w:p>
      <w:pPr>
        <w:pStyle w:val="BodyTextIndent3"/>
        <w:tabs>
          <w:tab w:val="right" w:pos="693" w:leader="none"/>
          <w:tab w:val="right" w:pos="1413" w:leader="none"/>
          <w:tab w:val="left" w:pos="1440" w:leader="none"/>
          <w:tab w:val="right" w:pos="2178" w:leader="none"/>
          <w:tab w:val="right" w:pos="2853" w:leader="none"/>
          <w:tab w:val="right" w:pos="3600" w:leader="none"/>
        </w:tabs>
        <w:ind w:hanging="0" w:start="720" w:end="0"/>
        <w:jc w:val="start"/>
        <w:rPr/>
      </w:pPr>
      <w:r>
        <w:rPr/>
      </w:r>
    </w:p>
    <w:p>
      <w:pPr>
        <w:pStyle w:val="BodyTextIndent3"/>
        <w:tabs>
          <w:tab w:val="right" w:pos="693" w:leader="none"/>
          <w:tab w:val="right" w:pos="1413" w:leader="none"/>
          <w:tab w:val="left" w:pos="1440" w:leader="none"/>
          <w:tab w:val="right" w:pos="2178" w:leader="none"/>
          <w:tab w:val="right" w:pos="2853" w:leader="none"/>
          <w:tab w:val="right" w:pos="3600" w:leader="none"/>
        </w:tabs>
        <w:jc w:val="start"/>
        <w:rPr/>
      </w:pPr>
      <w:r>
        <w:rPr/>
        <w:tab/>
        <w:tab/>
        <w:t>Tax incentives will include the following:</w:t>
      </w:r>
    </w:p>
    <w:p>
      <w:pPr>
        <w:pStyle w:val="BodyTextIndent3"/>
        <w:tabs>
          <w:tab w:val="right" w:pos="693" w:leader="none"/>
          <w:tab w:val="right" w:pos="1413" w:leader="none"/>
          <w:tab w:val="left" w:pos="1440" w:leader="none"/>
          <w:tab w:val="right" w:pos="2178" w:leader="none"/>
          <w:tab w:val="right" w:pos="2853" w:leader="none"/>
          <w:tab w:val="right" w:pos="3600" w:leader="none"/>
        </w:tabs>
        <w:jc w:val="start"/>
        <w:rPr/>
      </w:pPr>
      <w:r>
        <w:rPr/>
        <w:tab/>
      </w:r>
    </w:p>
    <w:p>
      <w:pPr>
        <w:pStyle w:val="Normal"/>
        <w:numPr>
          <w:ilvl w:val="1"/>
          <w:numId w:val="7"/>
        </w:numPr>
        <w:tabs>
          <w:tab w:val="clear" w:pos="720"/>
          <w:tab w:val="right" w:pos="693" w:leader="none"/>
          <w:tab w:val="right" w:pos="2853" w:leader="none"/>
          <w:tab w:val="right" w:pos="3600" w:leader="none"/>
        </w:tabs>
        <w:jc w:val="start"/>
        <w:rPr/>
      </w:pPr>
      <w:r>
        <w:rPr/>
        <w:t>The “Broadband Accelerated Cost Recovery System” which will be modeled on existing law to provide faster write-offs and larger deductions for high-speed telecommunications equipment.  An extended loss carryforward and carryback period will allow telecom infrastructure companies with no existing income to receive a refund of taxes paid in prior years and use current deductions to reduce taxable income in subsequent years.</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r>
    </w:p>
    <w:p>
      <w:pPr>
        <w:pStyle w:val="Normal"/>
        <w:numPr>
          <w:ilvl w:val="1"/>
          <w:numId w:val="7"/>
        </w:numPr>
        <w:tabs>
          <w:tab w:val="clear" w:pos="720"/>
          <w:tab w:val="left" w:pos="90" w:leader="none"/>
          <w:tab w:val="right" w:pos="693" w:leader="none"/>
          <w:tab w:val="right" w:pos="2160" w:leader="none"/>
          <w:tab w:val="right" w:pos="3600" w:leader="none"/>
        </w:tabs>
        <w:jc w:val="start"/>
        <w:rPr/>
      </w:pPr>
      <w:r>
        <w:rPr/>
        <w:t xml:space="preserve">The </w:t>
        <w:tab/>
        <w:t>“Broadband Investment Tax Credit” which will provide immediate tax credit for investment and stimulate the manufacture of necessary equipment.  A refundable tax credit will allow a company with no tax liability to receive a direct payment that would equal the tax credit otherwise available to reduce tax payment.</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ind w:start="693" w:end="0"/>
        <w:jc w:val="start"/>
        <w:rPr/>
      </w:pPr>
      <w:r>
        <w:rPr/>
      </w:r>
    </w:p>
    <w:p>
      <w:pPr>
        <w:pStyle w:val="Normal"/>
        <w:numPr>
          <w:ilvl w:val="1"/>
          <w:numId w:val="7"/>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w:t>
      </w:r>
      <w:r>
        <w:rPr/>
        <w:t xml:space="preserve">Safe harbor leasing” for advanced telecom equipment that allows a company that qualifies for the “Broadband Investment Tax Credit” to sell the credit to a taxpaying company.  </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r>
    </w:p>
    <w:p>
      <w:pPr>
        <w:pStyle w:val="Normal"/>
        <w:numPr>
          <w:ilvl w:val="1"/>
          <w:numId w:val="7"/>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A new class of tax-free telecom infrastructure development bonds to be made available for use involving a local telecom buildout, following the example of industrial development bonds that was issued under Internal Revenue Code Section 103.</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r>
    </w:p>
    <w:p>
      <w:pPr>
        <w:pStyle w:val="Normal"/>
        <w:numPr>
          <w:ilvl w:val="1"/>
          <w:numId w:val="7"/>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Expansion of the current Research and Development Tax Credit to further enable the development of new communications technologies.</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ind w:start="1440" w:end="0"/>
        <w:jc w:val="start"/>
        <w:rPr/>
      </w:pPr>
      <w:r>
        <w:rPr/>
      </w:r>
    </w:p>
    <w:p>
      <w:pPr>
        <w:pStyle w:val="Normal"/>
        <w:numPr>
          <w:ilvl w:val="0"/>
          <w:numId w:val="3"/>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The BBIA Act will create a “Broadband Buildout and Internet Access Trust Fund” (“Fund”) to finance construction of local high-speed infrastructure.</w:t>
      </w:r>
    </w:p>
    <w:p>
      <w:pPr>
        <w:pStyle w:val="Normal"/>
        <w:tabs>
          <w:tab w:val="clear" w:pos="720"/>
          <w:tab w:val="left" w:pos="90" w:leader="none"/>
          <w:tab w:val="right" w:pos="693" w:leader="none"/>
          <w:tab w:val="right" w:pos="1413" w:leader="none"/>
          <w:tab w:val="right" w:pos="2178" w:leader="none"/>
          <w:tab w:val="right" w:pos="2853" w:leader="none"/>
          <w:tab w:val="right" w:pos="3600" w:leader="none"/>
        </w:tabs>
        <w:ind w:start="720" w:end="0"/>
        <w:jc w:val="start"/>
        <w:rPr/>
      </w:pPr>
      <w:r>
        <w:rPr/>
      </w:r>
    </w:p>
    <w:p>
      <w:pPr>
        <w:pStyle w:val="FootnoteText"/>
        <w:numPr>
          <w:ilvl w:val="1"/>
          <w:numId w:val="3"/>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Role of the Fund</w:t>
      </w:r>
    </w:p>
    <w:p>
      <w:pPr>
        <w:pStyle w:val="FootnoteText"/>
        <w:tabs>
          <w:tab w:val="clear" w:pos="720"/>
          <w:tab w:val="left" w:pos="90" w:leader="none"/>
          <w:tab w:val="right" w:pos="693" w:leader="none"/>
          <w:tab w:val="right" w:pos="1413" w:leader="none"/>
          <w:tab w:val="right" w:pos="2178" w:leader="none"/>
          <w:tab w:val="right" w:pos="2853" w:leader="none"/>
          <w:tab w:val="right" w:pos="3600" w:leader="none"/>
        </w:tabs>
        <w:ind w:start="1440" w:end="0"/>
        <w:jc w:val="start"/>
        <w:rPr/>
      </w:pPr>
      <w:r>
        <w:rPr/>
      </w:r>
    </w:p>
    <w:p>
      <w:pPr>
        <w:pStyle w:val="BodyText2"/>
        <w:numPr>
          <w:ilvl w:val="0"/>
          <w:numId w:val="4"/>
        </w:numPr>
        <w:tabs>
          <w:tab w:val="clear" w:pos="90"/>
          <w:tab w:val="left" w:pos="0" w:leader="none"/>
          <w:tab w:val="right" w:pos="693" w:leader="none"/>
          <w:tab w:val="right" w:pos="1413" w:leader="none"/>
          <w:tab w:val="right" w:pos="1440" w:leader="none"/>
          <w:tab w:val="right" w:pos="2853" w:leader="none"/>
          <w:tab w:val="right" w:pos="3600" w:leader="none"/>
        </w:tabs>
        <w:rPr/>
      </w:pPr>
      <w:r>
        <w:rPr/>
        <w:t xml:space="preserve">The Fund will be modeled on successful trust fund programs such as the Highway Trust Fund and the Airport and Airways User Trust Fund, which have contributed to funding development of a substantial portion of the national transportation and communications infrastructure.  </w:t>
      </w:r>
    </w:p>
    <w:p>
      <w:pPr>
        <w:pStyle w:val="BodyText2"/>
        <w:tabs>
          <w:tab w:val="clear" w:pos="90"/>
          <w:tab w:val="left" w:pos="0" w:leader="none"/>
          <w:tab w:val="right" w:pos="693" w:leader="none"/>
          <w:tab w:val="right" w:pos="1413" w:leader="none"/>
          <w:tab w:val="right" w:pos="1440" w:leader="none"/>
          <w:tab w:val="right" w:pos="2853" w:leader="none"/>
          <w:tab w:val="right" w:pos="3600" w:leader="none"/>
        </w:tabs>
        <w:ind w:start="1440" w:end="0"/>
        <w:rPr/>
      </w:pPr>
      <w:r>
        <w:rPr/>
      </w:r>
    </w:p>
    <w:p>
      <w:pPr>
        <w:pStyle w:val="BodyText2"/>
        <w:numPr>
          <w:ilvl w:val="0"/>
          <w:numId w:val="4"/>
        </w:numPr>
        <w:rPr/>
      </w:pPr>
      <w:r>
        <w:rPr/>
        <w:t xml:space="preserve">For companies engaged in building last mile infrastructure, the Fund will provide direct grants, revolving loans, matching loans, loan guarantees, loan insurance and other services.  </w:t>
      </w:r>
    </w:p>
    <w:p>
      <w:pPr>
        <w:pStyle w:val="BodyText2"/>
        <w:rPr/>
      </w:pPr>
      <w:r>
        <w:rPr/>
      </w:r>
    </w:p>
    <w:p>
      <w:pPr>
        <w:pStyle w:val="Normal"/>
        <w:numPr>
          <w:ilvl w:val="0"/>
          <w:numId w:val="4"/>
        </w:numPr>
        <w:tabs>
          <w:tab w:val="clear" w:pos="720"/>
          <w:tab w:val="left" w:pos="90" w:leader="none"/>
          <w:tab w:val="right" w:pos="693" w:leader="none"/>
          <w:tab w:val="right" w:pos="1413" w:leader="none"/>
          <w:tab w:val="right" w:pos="2853" w:leader="none"/>
          <w:tab w:val="right" w:pos="3600" w:leader="none"/>
        </w:tabs>
        <w:jc w:val="start"/>
        <w:rPr/>
      </w:pPr>
      <w:r>
        <w:rPr/>
        <w:t xml:space="preserve">The Fund will add liquidity to help create a secondary debt market for construction of advanced telecommunication services. </w:t>
      </w:r>
    </w:p>
    <w:p>
      <w:pPr>
        <w:pStyle w:val="Normal"/>
        <w:tabs>
          <w:tab w:val="clear" w:pos="720"/>
          <w:tab w:val="left" w:pos="90" w:leader="none"/>
          <w:tab w:val="right" w:pos="693" w:leader="none"/>
          <w:tab w:val="right" w:pos="1413" w:leader="none"/>
          <w:tab w:val="right" w:pos="2853" w:leader="none"/>
          <w:tab w:val="right" w:pos="3600" w:leader="none"/>
        </w:tabs>
        <w:jc w:val="start"/>
        <w:rPr/>
      </w:pPr>
      <w:r>
        <w:rPr/>
      </w:r>
    </w:p>
    <w:p>
      <w:pPr>
        <w:pStyle w:val="Normal"/>
        <w:numPr>
          <w:ilvl w:val="0"/>
          <w:numId w:val="4"/>
        </w:numPr>
        <w:tabs>
          <w:tab w:val="clear" w:pos="720"/>
          <w:tab w:val="left" w:pos="90" w:leader="none"/>
          <w:tab w:val="right" w:pos="693" w:leader="none"/>
          <w:tab w:val="right" w:pos="1413" w:leader="none"/>
          <w:tab w:val="right" w:pos="2853" w:leader="none"/>
          <w:tab w:val="right" w:pos="3600" w:leader="none"/>
        </w:tabs>
        <w:jc w:val="start"/>
        <w:rPr/>
      </w:pPr>
      <w:r>
        <w:rPr/>
        <w:t xml:space="preserve">The Fund will support standards bodies and new technology research. </w:t>
      </w:r>
    </w:p>
    <w:p>
      <w:pPr>
        <w:pStyle w:val="Normal"/>
        <w:tabs>
          <w:tab w:val="clear" w:pos="720"/>
          <w:tab w:val="left" w:pos="90" w:leader="none"/>
          <w:tab w:val="right" w:pos="693" w:leader="none"/>
          <w:tab w:val="right" w:pos="1413" w:leader="none"/>
          <w:tab w:val="right" w:pos="2853" w:leader="none"/>
          <w:tab w:val="right" w:pos="3600" w:leader="none"/>
        </w:tabs>
        <w:jc w:val="start"/>
        <w:rPr/>
      </w:pPr>
      <w:r>
        <w:rPr/>
      </w:r>
    </w:p>
    <w:p>
      <w:pPr>
        <w:pStyle w:val="Normal"/>
        <w:numPr>
          <w:ilvl w:val="0"/>
          <w:numId w:val="4"/>
        </w:numPr>
        <w:tabs>
          <w:tab w:val="clear" w:pos="720"/>
          <w:tab w:val="left" w:pos="90" w:leader="none"/>
          <w:tab w:val="right" w:pos="693" w:leader="none"/>
          <w:tab w:val="right" w:pos="1413" w:leader="none"/>
          <w:tab w:val="right" w:pos="2853" w:leader="none"/>
          <w:tab w:val="right" w:pos="3600" w:leader="none"/>
        </w:tabs>
        <w:jc w:val="start"/>
        <w:rPr/>
      </w:pPr>
      <w:r>
        <w:rPr/>
        <w:t>The Fund will support investment by small businesses and universities and will provide special programs for rural areas and enterprise zones.</w:t>
      </w:r>
    </w:p>
    <w:p>
      <w:pPr>
        <w:pStyle w:val="Normal"/>
        <w:tabs>
          <w:tab w:val="clear" w:pos="720"/>
          <w:tab w:val="left" w:pos="90" w:leader="none"/>
          <w:tab w:val="right" w:pos="693" w:leader="none"/>
          <w:tab w:val="right" w:pos="1413" w:leader="none"/>
          <w:tab w:val="right" w:pos="2853" w:leader="none"/>
          <w:tab w:val="right" w:pos="3600" w:leader="none"/>
        </w:tabs>
        <w:jc w:val="start"/>
        <w:rPr/>
      </w:pPr>
      <w:r>
        <w:rPr/>
      </w:r>
    </w:p>
    <w:p>
      <w:pPr>
        <w:pStyle w:val="Normal"/>
        <w:numPr>
          <w:ilvl w:val="0"/>
          <w:numId w:val="4"/>
        </w:numPr>
        <w:tabs>
          <w:tab w:val="clear" w:pos="720"/>
          <w:tab w:val="left" w:pos="90" w:leader="none"/>
          <w:tab w:val="right" w:pos="693" w:leader="none"/>
          <w:tab w:val="right" w:pos="1413" w:leader="none"/>
          <w:tab w:val="right" w:pos="2178" w:leader="none"/>
          <w:tab w:val="right" w:pos="2853" w:leader="none"/>
          <w:tab w:val="right" w:pos="3600" w:leader="none"/>
        </w:tabs>
        <w:jc w:val="start"/>
        <w:rPr/>
      </w:pPr>
      <w:r>
        <w:rPr/>
        <w:t xml:space="preserve">The FCC currently subsidizes programs for high-speed services and equipment through the E-Rate program.  Similarly, the Department of Agriculture’s Rural Utility Service conducts programs to support telecommunications investment in rural areas. The services of these agencies could be greatly expanded and improved by participating in the Fund. </w:t>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ind w:start="1440" w:end="0"/>
        <w:jc w:val="start"/>
        <w:rPr/>
      </w:pPr>
      <w:r>
        <w:rPr/>
        <w:t>2. Financing the Fund</w:t>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ind w:start="1440" w:end="0"/>
        <w:jc w:val="start"/>
        <w:rPr/>
      </w:pPr>
      <w:r>
        <w:rPr/>
      </w:r>
    </w:p>
    <w:p>
      <w:pPr>
        <w:pStyle w:val="Normal"/>
        <w:numPr>
          <w:ilvl w:val="0"/>
          <w:numId w:val="6"/>
        </w:numPr>
        <w:tabs>
          <w:tab w:val="clear" w:pos="720"/>
          <w:tab w:val="left" w:pos="90" w:leader="none"/>
          <w:tab w:val="right" w:pos="693" w:leader="none"/>
          <w:tab w:val="right" w:pos="1413" w:leader="none"/>
          <w:tab w:val="right" w:pos="2853" w:leader="none"/>
          <w:tab w:val="right" w:pos="3600" w:leader="none"/>
        </w:tabs>
        <w:jc w:val="start"/>
        <w:rPr/>
      </w:pPr>
      <w:r>
        <w:rPr/>
        <w:t>The Fund will receive all proceeds from a special auction of HDTV spectrum reclaimed from broadcasters who do not use the spectrum as directed by Congress and the FCC.  The total value of the spectrum is unknown, but has been estimated at approximately $70 billion.  Auctioning HDTV spectrum will require legislative action as the Telecommunications Act of 1996 prohibits the auction of such spectrum.</w:t>
      </w:r>
    </w:p>
    <w:p>
      <w:pPr>
        <w:pStyle w:val="Normal"/>
        <w:tabs>
          <w:tab w:val="clear" w:pos="720"/>
          <w:tab w:val="left" w:pos="90" w:leader="none"/>
          <w:tab w:val="right" w:pos="693" w:leader="none"/>
          <w:tab w:val="right" w:pos="1413" w:leader="none"/>
          <w:tab w:val="right" w:pos="2853" w:leader="none"/>
          <w:tab w:val="right" w:pos="3600" w:leader="none"/>
        </w:tabs>
        <w:jc w:val="start"/>
        <w:rPr/>
      </w:pPr>
      <w:r>
        <w:rPr/>
      </w:r>
    </w:p>
    <w:p>
      <w:pPr>
        <w:pStyle w:val="Normal"/>
        <w:numPr>
          <w:ilvl w:val="0"/>
          <w:numId w:val="6"/>
        </w:numPr>
        <w:tabs>
          <w:tab w:val="clear" w:pos="720"/>
          <w:tab w:val="left" w:pos="90" w:leader="none"/>
          <w:tab w:val="right" w:pos="693" w:leader="none"/>
          <w:tab w:val="right" w:pos="1413" w:leader="none"/>
          <w:tab w:val="right" w:pos="2853" w:leader="none"/>
          <w:tab w:val="right" w:pos="3600" w:leader="none"/>
        </w:tabs>
        <w:jc w:val="start"/>
        <w:rPr/>
      </w:pPr>
      <w:r>
        <w:rPr/>
        <w:t>The Fund will receive proceeds from the sale of additional wireless spectrum by the FCC.  The FCC may auction as much as 200 Megahertz of spectrum in the next two years.  Application of proceeds to the Fund would require appropriations legislation if, as in previous auctions, the proceeds are treated as government income for budget purposes.</w:t>
      </w:r>
    </w:p>
    <w:p>
      <w:pPr>
        <w:pStyle w:val="Normal"/>
        <w:tabs>
          <w:tab w:val="clear" w:pos="720"/>
          <w:tab w:val="left" w:pos="90" w:leader="none"/>
          <w:tab w:val="right" w:pos="693" w:leader="none"/>
          <w:tab w:val="right" w:pos="1413" w:leader="none"/>
          <w:tab w:val="right" w:pos="2853" w:leader="none"/>
          <w:tab w:val="right" w:pos="3600" w:leader="none"/>
        </w:tabs>
        <w:jc w:val="start"/>
        <w:rPr/>
      </w:pPr>
      <w:r>
        <w:rPr/>
      </w:r>
    </w:p>
    <w:p>
      <w:pPr>
        <w:pStyle w:val="Normal"/>
        <w:numPr>
          <w:ilvl w:val="0"/>
          <w:numId w:val="6"/>
        </w:numPr>
        <w:tabs>
          <w:tab w:val="clear" w:pos="720"/>
          <w:tab w:val="left" w:pos="90" w:leader="none"/>
          <w:tab w:val="right" w:pos="693" w:leader="none"/>
          <w:tab w:val="right" w:pos="1413" w:leader="none"/>
          <w:tab w:val="right" w:pos="2853" w:leader="none"/>
          <w:tab w:val="left" w:pos="2880" w:leader="none"/>
          <w:tab w:val="right" w:pos="3600" w:leader="none"/>
        </w:tabs>
        <w:jc w:val="start"/>
        <w:rPr/>
      </w:pPr>
      <w:r>
        <w:rPr/>
        <w:t>Continuation of a telephone excise tax (3% of certain charges) provides an additional source of income for the Fund.  Congressional budget committees estimate that the telephone excise tax generates $5 billion annually.</w:t>
      </w:r>
    </w:p>
    <w:p>
      <w:pPr>
        <w:pStyle w:val="Normal"/>
        <w:tabs>
          <w:tab w:val="clear" w:pos="720"/>
          <w:tab w:val="left" w:pos="90" w:leader="none"/>
          <w:tab w:val="right" w:pos="693" w:leader="none"/>
          <w:tab w:val="right" w:pos="1413" w:leader="none"/>
          <w:tab w:val="right" w:pos="2853" w:leader="none"/>
          <w:tab w:val="left" w:pos="2880" w:leader="none"/>
          <w:tab w:val="right" w:pos="3600" w:leader="none"/>
        </w:tabs>
        <w:jc w:val="start"/>
        <w:rPr/>
      </w:pPr>
      <w:r>
        <w:rPr/>
      </w:r>
    </w:p>
    <w:p>
      <w:pPr>
        <w:pStyle w:val="Normal"/>
        <w:numPr>
          <w:ilvl w:val="0"/>
          <w:numId w:val="6"/>
        </w:numPr>
        <w:tabs>
          <w:tab w:val="clear" w:pos="720"/>
          <w:tab w:val="left" w:pos="90" w:leader="none"/>
          <w:tab w:val="right" w:pos="693" w:leader="none"/>
          <w:tab w:val="right" w:pos="1413" w:leader="none"/>
          <w:tab w:val="right" w:pos="2853" w:leader="none"/>
          <w:tab w:val="right" w:pos="3600" w:leader="none"/>
        </w:tabs>
        <w:jc w:val="start"/>
        <w:rPr/>
      </w:pPr>
      <w:r>
        <w:rPr/>
        <w:t>Other revenue could be provided by a transfer tax on spectrum transfers in new secondary markets and expanded user fees for FCC services.</w:t>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40" w:leader="none"/>
          <w:tab w:val="right" w:pos="2178" w:leader="none"/>
          <w:tab w:val="right" w:pos="2853" w:leader="none"/>
          <w:tab w:val="right" w:pos="3600" w:leader="none"/>
        </w:tabs>
        <w:ind w:start="690" w:end="0"/>
        <w:jc w:val="start"/>
        <w:rPr/>
      </w:pPr>
      <w:r>
        <w:rPr/>
        <w:tab/>
        <w:tab/>
        <w:tab/>
        <w:t>3. Illustration of the Fund</w:t>
      </w:r>
    </w:p>
    <w:p>
      <w:pPr>
        <w:pStyle w:val="Normal"/>
        <w:tabs>
          <w:tab w:val="clear" w:pos="720"/>
          <w:tab w:val="left" w:pos="0" w:leader="none"/>
          <w:tab w:val="right" w:pos="693" w:leader="none"/>
          <w:tab w:val="right" w:pos="1440" w:leader="none"/>
          <w:tab w:val="right" w:pos="2178" w:leader="none"/>
          <w:tab w:val="right" w:pos="2853" w:leader="none"/>
          <w:tab w:val="right" w:pos="3600" w:leader="none"/>
        </w:tabs>
        <w:ind w:start="690" w:end="0"/>
        <w:jc w:val="start"/>
        <w:rPr/>
      </w:pPr>
      <w:r>
        <w:rPr/>
      </w:r>
    </w:p>
    <w:p>
      <w:pPr>
        <w:pStyle w:val="Normal"/>
        <w:tabs>
          <w:tab w:val="clear" w:pos="720"/>
          <w:tab w:val="left" w:pos="0" w:leader="none"/>
          <w:tab w:val="right" w:pos="1440" w:leader="none"/>
          <w:tab w:val="right" w:pos="1530" w:leader="none"/>
          <w:tab w:val="right" w:pos="2178" w:leader="none"/>
          <w:tab w:val="right" w:pos="2853" w:leader="none"/>
          <w:tab w:val="right" w:pos="3600" w:leader="none"/>
        </w:tabs>
        <w:ind w:start="1440" w:end="0"/>
        <w:jc w:val="start"/>
        <w:rPr/>
      </w:pPr>
      <w:r>
        <w:rPr/>
        <w:tab/>
        <w:t>Please see the hypothetical illustration (attached as a separate document hereto) that assumes that the Trust will be funded with spectrum auction proceeds, excise tax proceeds and loan program revenues.  The illustration also assumes a “sunset” of the Trust after a seven-year building program.</w:t>
      </w:r>
    </w:p>
    <w:p>
      <w:pPr>
        <w:pStyle w:val="FootnoteText"/>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r>
    </w:p>
    <w:p>
      <w:pPr>
        <w:pStyle w:val="Normal"/>
        <w:tabs>
          <w:tab w:val="clear" w:pos="720"/>
          <w:tab w:val="left" w:pos="0" w:leader="none"/>
          <w:tab w:val="right" w:pos="693" w:leader="none"/>
          <w:tab w:val="right" w:pos="1413" w:leader="none"/>
          <w:tab w:val="right" w:pos="2178" w:leader="none"/>
          <w:tab w:val="right" w:pos="2853" w:leader="none"/>
          <w:tab w:val="right" w:pos="3600" w:leader="none"/>
        </w:tabs>
        <w:jc w:val="start"/>
        <w:rPr/>
      </w:pPr>
      <w:r>
        <w:rPr/>
        <w:t>IV.</w:t>
        <w:tab/>
        <w:t xml:space="preserve"> </w:t>
      </w:r>
      <w:r>
        <w:rPr>
          <w:u w:val="single"/>
        </w:rPr>
        <w:t xml:space="preserve">Strategy for Implementation of the BBIA Act </w:t>
      </w:r>
    </w:p>
    <w:p>
      <w:pPr>
        <w:pStyle w:val="Normal"/>
        <w:tabs>
          <w:tab w:val="left" w:pos="90" w:leader="none"/>
          <w:tab w:val="right" w:pos="693" w:leader="none"/>
          <w:tab w:val="left" w:pos="720" w:leader="none"/>
          <w:tab w:val="right" w:pos="1413" w:leader="none"/>
          <w:tab w:val="right" w:pos="2178" w:leader="none"/>
          <w:tab w:val="right" w:pos="2853" w:leader="none"/>
          <w:tab w:val="right" w:pos="3600" w:leader="none"/>
        </w:tabs>
        <w:jc w:val="start"/>
        <w:rPr/>
      </w:pPr>
      <w:r>
        <w:rPr/>
      </w:r>
    </w:p>
    <w:p>
      <w:pPr>
        <w:pStyle w:val="BodyTextIndent2"/>
        <w:tabs>
          <w:tab w:val="clear" w:pos="720"/>
          <w:tab w:val="left" w:pos="90" w:leader="none"/>
          <w:tab w:val="right" w:pos="693" w:leader="none"/>
          <w:tab w:val="right" w:pos="1413" w:leader="none"/>
          <w:tab w:val="right" w:pos="2178" w:leader="none"/>
          <w:tab w:val="right" w:pos="2853" w:leader="none"/>
          <w:tab w:val="right" w:pos="3600" w:leader="none"/>
        </w:tabs>
        <w:ind w:hanging="690" w:start="1383" w:end="0"/>
        <w:jc w:val="start"/>
        <w:rPr/>
      </w:pPr>
      <w:r>
        <w:rPr/>
        <w:t>A.</w:t>
        <w:tab/>
        <w:tab/>
        <w:t>Conduct internal company discussions to formulate legislative, media and public relations strategy and to identify House, Senate and White House advocates.</w:t>
      </w:r>
    </w:p>
    <w:p>
      <w:pPr>
        <w:pStyle w:val="BodyTextIndent2"/>
        <w:tabs>
          <w:tab w:val="clear" w:pos="720"/>
          <w:tab w:val="left" w:pos="90" w:leader="none"/>
          <w:tab w:val="right" w:pos="693" w:leader="none"/>
          <w:tab w:val="right" w:pos="1413" w:leader="none"/>
          <w:tab w:val="right" w:pos="2178" w:leader="none"/>
          <w:tab w:val="right" w:pos="2853" w:leader="none"/>
          <w:tab w:val="right" w:pos="3600" w:leader="none"/>
        </w:tabs>
        <w:ind w:start="693" w:end="0"/>
        <w:jc w:val="start"/>
        <w:rPr/>
      </w:pPr>
      <w:r>
        <w:rPr/>
      </w:r>
    </w:p>
    <w:p>
      <w:pPr>
        <w:pStyle w:val="BodyTextIndent2"/>
        <w:tabs>
          <w:tab w:val="clear" w:pos="720"/>
          <w:tab w:val="left" w:pos="90" w:leader="none"/>
          <w:tab w:val="right" w:pos="693" w:leader="none"/>
          <w:tab w:val="right" w:pos="1413" w:leader="none"/>
          <w:tab w:val="right" w:pos="2178" w:leader="none"/>
          <w:tab w:val="right" w:pos="2853" w:leader="none"/>
          <w:tab w:val="right" w:pos="3600" w:leader="none"/>
        </w:tabs>
        <w:ind w:hanging="690" w:start="1383" w:end="0"/>
        <w:jc w:val="start"/>
        <w:rPr/>
      </w:pPr>
      <w:r>
        <w:rPr/>
        <w:t>B.</w:t>
        <w:tab/>
        <w:tab/>
        <w:t>Consult with industry colleagues and key legislators and regulators to review and refine proposals.</w:t>
      </w:r>
    </w:p>
    <w:p>
      <w:pPr>
        <w:pStyle w:val="Normal"/>
        <w:tabs>
          <w:tab w:val="left" w:pos="90" w:leader="none"/>
          <w:tab w:val="right" w:pos="693" w:leader="none"/>
          <w:tab w:val="left" w:pos="720" w:leader="none"/>
          <w:tab w:val="right" w:pos="1413" w:leader="none"/>
          <w:tab w:val="right" w:pos="2178" w:leader="none"/>
          <w:tab w:val="right" w:pos="2853" w:leader="none"/>
          <w:tab w:val="right" w:pos="3600" w:leader="none"/>
        </w:tabs>
        <w:ind w:start="693" w:end="0"/>
        <w:jc w:val="start"/>
        <w:rPr/>
      </w:pPr>
      <w:r>
        <w:rPr/>
      </w:r>
    </w:p>
    <w:p>
      <w:pPr>
        <w:pStyle w:val="BodyTextIndent2"/>
        <w:numPr>
          <w:ilvl w:val="0"/>
          <w:numId w:val="3"/>
        </w:numPr>
        <w:tabs>
          <w:tab w:val="clear" w:pos="720"/>
          <w:tab w:val="left" w:pos="90" w:leader="none"/>
          <w:tab w:val="right" w:pos="693" w:leader="none"/>
          <w:tab w:val="right" w:pos="1413" w:leader="none"/>
          <w:tab w:val="left" w:pos="1440" w:leader="none"/>
          <w:tab w:val="right" w:pos="2178" w:leader="none"/>
          <w:tab w:val="right" w:pos="2853" w:leader="none"/>
          <w:tab w:val="right" w:pos="3600" w:leader="none"/>
        </w:tabs>
        <w:jc w:val="start"/>
        <w:rPr/>
      </w:pPr>
      <w:r>
        <w:rPr/>
        <w:t>Organize coalition of service providers, telecom equipment manufacturers, financing institutions and other interested parties to secure political support for the proposals.</w:t>
      </w:r>
    </w:p>
    <w:p>
      <w:pPr>
        <w:pStyle w:val="BodyTextIndent2"/>
        <w:tabs>
          <w:tab w:val="clear" w:pos="720"/>
          <w:tab w:val="left" w:pos="90" w:leader="none"/>
          <w:tab w:val="right" w:pos="693" w:leader="none"/>
          <w:tab w:val="right" w:pos="1413" w:leader="none"/>
          <w:tab w:val="left" w:pos="1440" w:leader="none"/>
          <w:tab w:val="right" w:pos="2178" w:leader="none"/>
          <w:tab w:val="right" w:pos="2853" w:leader="none"/>
          <w:tab w:val="right" w:pos="3600" w:leader="none"/>
        </w:tabs>
        <w:jc w:val="start"/>
        <w:rPr/>
      </w:pPr>
      <w:r>
        <w:rPr/>
      </w:r>
    </w:p>
    <w:p>
      <w:pPr>
        <w:pStyle w:val="BodyTextIndent2"/>
        <w:tabs>
          <w:tab w:val="clear" w:pos="720"/>
          <w:tab w:val="left" w:pos="90" w:leader="none"/>
          <w:tab w:val="right" w:pos="693" w:leader="none"/>
          <w:tab w:val="right" w:pos="1413" w:leader="none"/>
          <w:tab w:val="left" w:pos="1440" w:leader="none"/>
          <w:tab w:val="right" w:pos="2178" w:leader="none"/>
          <w:tab w:val="right" w:pos="2853" w:leader="none"/>
          <w:tab w:val="right" w:pos="3600" w:leader="none"/>
        </w:tabs>
        <w:jc w:val="start"/>
        <w:rPr/>
      </w:pPr>
      <w:r>
        <w:rPr/>
      </w:r>
    </w:p>
    <w:p>
      <w:pPr>
        <w:pStyle w:val="BodyTextIndent2"/>
        <w:tabs>
          <w:tab w:val="clear" w:pos="720"/>
          <w:tab w:val="left" w:pos="90" w:leader="none"/>
          <w:tab w:val="right" w:pos="693" w:leader="none"/>
          <w:tab w:val="right" w:pos="1413" w:leader="none"/>
          <w:tab w:val="left" w:pos="1440" w:leader="none"/>
          <w:tab w:val="right" w:pos="2178" w:leader="none"/>
          <w:tab w:val="right" w:pos="2853" w:leader="none"/>
          <w:tab w:val="right" w:pos="3600" w:leader="none"/>
        </w:tabs>
        <w:ind w:start="0" w:end="0"/>
        <w:jc w:val="start"/>
        <w:rPr/>
      </w:pPr>
      <w:r>
        <w:rPr/>
      </w:r>
    </w:p>
    <w:sectPr>
      <w:footerReference w:type="default" r:id="rId7"/>
      <w:footerReference w:type="first" r:id="rId8"/>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upperLetter"/>
      <w:lvlText w:val="%1."/>
      <w:lvlJc w:val="start"/>
      <w:pPr>
        <w:tabs>
          <w:tab w:val="num" w:pos="1080"/>
        </w:tabs>
        <w:ind w:start="1080" w:hanging="360"/>
      </w:pPr>
      <w:rPr/>
    </w:lvl>
    <w:lvl w:ilvl="1">
      <w:start w:val="1"/>
      <w:numFmt w:val="decimal"/>
      <w:lvlText w:val="%2."/>
      <w:lvlJc w:val="start"/>
      <w:pPr>
        <w:tabs>
          <w:tab w:val="num" w:pos="1800"/>
        </w:tabs>
        <w:ind w:start="1800" w:hanging="360"/>
      </w:pPr>
      <w:rPr/>
    </w:lvl>
    <w:lvl w:ilvl="2">
      <w:start w:val="1"/>
      <w:numFmt w:val="bullet"/>
      <w:lvlText w:val=""/>
      <w:lvlJc w:val="start"/>
      <w:pPr>
        <w:tabs>
          <w:tab w:val="num" w:pos="2700"/>
        </w:tabs>
        <w:ind w:start="2700" w:hanging="360"/>
      </w:pPr>
      <w:rPr>
        <w:rFonts w:ascii="Symbol" w:hAnsi="Symbol" w:cs="Symbol" w:hint="default"/>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773"/>
        </w:tabs>
        <w:ind w:start="1773" w:hanging="360"/>
      </w:pPr>
      <w:rPr>
        <w:rFonts w:ascii="Symbol" w:hAnsi="Symbol" w:cs="Symbol" w:hint="default"/>
      </w:rPr>
    </w:lvl>
  </w:abstractNum>
  <w:abstractNum w:abstractNumId="7">
    <w:lvl w:ilvl="0">
      <w:start w:val="1"/>
      <w:numFmt w:val="upperLetter"/>
      <w:lvlText w:val="%1."/>
      <w:lvlJc w:val="start"/>
      <w:pPr>
        <w:tabs>
          <w:tab w:val="num" w:pos="1080"/>
        </w:tabs>
        <w:ind w:start="1080" w:hanging="360"/>
      </w:pPr>
      <w:rPr/>
    </w:lvl>
    <w:lvl w:ilvl="1">
      <w:start w:val="1"/>
      <w:numFmt w:val="bullet"/>
      <w:lvlText w:val=""/>
      <w:lvlJc w:val="start"/>
      <w:pPr>
        <w:tabs>
          <w:tab w:val="num" w:pos="1800"/>
        </w:tabs>
        <w:ind w:start="1800" w:hanging="360"/>
      </w:pPr>
      <w:rPr>
        <w:rFonts w:ascii="Symbol" w:hAnsi="Symbol" w:cs="Symbol"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jc w:val="center"/>
      <w:outlineLvl w:val="2"/>
    </w:pPr>
    <w:rPr>
      <w:u w:val="single"/>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style>
  <w:style w:type="character" w:styleId="WW8Num23z2">
    <w:name w:val="WW8Num23z2"/>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Symbol" w:hAnsi="Symbol" w:cs="Symbol"/>
    </w:rPr>
  </w:style>
  <w:style w:type="character" w:styleId="WW8Num68z0">
    <w:name w:val="WW8Num68z0"/>
    <w:qFormat/>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7z1">
    <w:name w:val="WW8Num77z1"/>
    <w:qFormat/>
    <w:rPr>
      <w:rFonts w:ascii="Symbol" w:hAnsi="Symbol" w:cs="Symbol"/>
    </w:rPr>
  </w:style>
  <w:style w:type="character" w:styleId="WW8Num78z0">
    <w:name w:val="WW8Num78z0"/>
    <w:qFormat/>
    <w:rPr>
      <w:u w:val="none"/>
    </w:rPr>
  </w:style>
  <w:style w:type="character" w:styleId="WW8Num79z0">
    <w:name w:val="WW8Num79z0"/>
    <w:qFormat/>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BodyTextIndent">
    <w:name w:val="Body Text Indent"/>
    <w:basedOn w:val="Normal"/>
    <w:pPr>
      <w:tabs>
        <w:tab w:val="clear" w:pos="720"/>
        <w:tab w:val="left" w:pos="90" w:leader="none"/>
      </w:tabs>
      <w:ind w:hanging="1440" w:start="1440" w:end="0"/>
    </w:pPr>
    <w:rPr/>
  </w:style>
  <w:style w:type="paragraph" w:styleId="BodyTextIndent2">
    <w:name w:val="Body Text Indent 2"/>
    <w:basedOn w:val="Normal"/>
    <w:qFormat/>
    <w:pPr>
      <w:tabs>
        <w:tab w:val="left" w:pos="90" w:leader="none"/>
        <w:tab w:val="left" w:pos="720" w:leader="none"/>
      </w:tabs>
      <w:ind w:hanging="0" w:start="720" w:end="0"/>
    </w:pPr>
    <w:rPr/>
  </w:style>
  <w:style w:type="paragraph" w:styleId="BodyTextIndent3">
    <w:name w:val="Body Text Indent 3"/>
    <w:basedOn w:val="Normal"/>
    <w:qFormat/>
    <w:pPr>
      <w:tabs>
        <w:tab w:val="clear" w:pos="720"/>
        <w:tab w:val="left" w:pos="1440" w:leader="none"/>
      </w:tabs>
      <w:ind w:hanging="720" w:start="1440" w:end="0"/>
    </w:pPr>
    <w:rPr/>
  </w:style>
  <w:style w:type="paragraph" w:styleId="BodyText2">
    <w:name w:val="Body Text 2"/>
    <w:basedOn w:val="Normal"/>
    <w:qFormat/>
    <w:pPr>
      <w:tabs>
        <w:tab w:val="clear" w:pos="720"/>
        <w:tab w:val="left" w:pos="90" w:leader="none"/>
        <w:tab w:val="right" w:pos="693" w:leader="none"/>
        <w:tab w:val="right" w:pos="1413" w:leader="none"/>
        <w:tab w:val="right" w:pos="2853" w:leader="none"/>
        <w:tab w:val="right" w:pos="3600" w:leader="none"/>
      </w:tabs>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cc.gov/ccb/stats" TargetMode="External"/><Relationship Id="rId3" Type="http://schemas.openxmlformats.org/officeDocument/2006/relationships/hyperlink" Target="http://www.fcc.gov/ccb/stats" TargetMode="External"/><Relationship Id="rId4" Type="http://schemas.openxmlformats.org/officeDocument/2006/relationships/hyperlink" Target="http://www.census.gov/hhes/www/housing/ahs/97dtchrt/tab2-1.html" TargetMode="External"/><Relationship Id="rId5" Type="http://schemas.openxmlformats.org/officeDocument/2006/relationships/hyperlink" Target="http://www.census.gov/csd/ace/view/ace98.html" TargetMode="External"/><Relationship Id="rId6" Type="http://schemas.openxmlformats.org/officeDocument/2006/relationships/hyperlink" Target="http://www.ncta.com/glance.html"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2000-11-14T14:52:00Z</dcterms:created>
  <dc:creator>DCTRAIN</dc:creator>
  <dc:description/>
  <dc:language>en-CA</dc:language>
  <cp:lastModifiedBy>lleibman</cp:lastModifiedBy>
  <cp:lastPrinted>2000-11-15T09:25:00Z</cp:lastPrinted>
  <dcterms:modified xsi:type="dcterms:W3CDTF">2000-11-15T13:02:00Z</dcterms:modified>
  <cp:revision>21</cp:revision>
  <dc:subject/>
  <dc:title>I</dc:title>
</cp:coreProperties>
</file>