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tabs>
          <w:tab w:val="clear" w:pos="720"/>
          <w:tab w:val="left" w:pos="0" w:leader="none"/>
        </w:tabs>
        <w:ind w:start="-720" w:end="-547"/>
        <w:rPr/>
      </w:pPr>
      <w:r>
        <w:rPr>
          <w:caps w:val="false"/>
          <w:smallCaps w:val="false"/>
          <w:spacing w:val="0"/>
          <w:position w:val="0"/>
          <w:sz w:val="22"/>
          <w:sz w:val="22"/>
          <w:vertAlign w:val="baseline"/>
        </w:rPr>
        <w:t>MELANIE D. KING</w:t>
        <w:tab/>
      </w:r>
      <w:r>
        <w:rPr>
          <w:caps w:val="false"/>
          <w:smallCaps w:val="false"/>
          <w:sz w:val="22"/>
        </w:rPr>
        <w:tab/>
        <w:tab/>
        <w:tab/>
        <w:tab/>
        <w:tab/>
        <w:tab/>
        <w:tab/>
        <w:tab/>
        <w:tab/>
        <w:t xml:space="preserve">  </w:t>
      </w:r>
      <w:r>
        <w:rPr>
          <w:caps w:val="false"/>
          <w:smallCaps w:val="false"/>
          <w:spacing w:val="0"/>
          <w:position w:val="0"/>
          <w:sz w:val="22"/>
          <w:sz w:val="22"/>
          <w:vertAlign w:val="baseline"/>
        </w:rPr>
        <w:t>2614 PINEBEND</w:t>
      </w:r>
    </w:p>
    <w:p>
      <w:pPr>
        <w:pStyle w:val="Name"/>
        <w:pBdr>
          <w:bottom w:val="single" w:sz="12" w:space="1" w:color="000000"/>
        </w:pBdr>
        <w:tabs>
          <w:tab w:val="clear" w:pos="720"/>
          <w:tab w:val="left" w:pos="0" w:leader="none"/>
        </w:tabs>
        <w:ind w:start="-720" w:end="-540"/>
        <w:jc w:val="both"/>
        <w:rPr>
          <w:b w:val="false"/>
          <w:sz w:val="22"/>
        </w:rPr>
      </w:pPr>
      <w:r>
        <w:rPr>
          <w:b w:val="false"/>
          <w:caps w:val="false"/>
          <w:smallCaps w:val="false"/>
          <w:spacing w:val="0"/>
          <w:position w:val="0"/>
          <w:sz w:val="22"/>
          <w:sz w:val="22"/>
          <w:vertAlign w:val="baseline"/>
        </w:rPr>
        <w:t xml:space="preserve">      </w:t>
      </w:r>
      <w:r>
        <w:rPr>
          <w:b w:val="false"/>
          <w:caps w:val="false"/>
          <w:smallCaps w:val="false"/>
          <w:spacing w:val="0"/>
          <w:position w:val="0"/>
          <w:sz w:val="22"/>
          <w:sz w:val="22"/>
          <w:vertAlign w:val="baseline"/>
        </w:rPr>
        <w:t xml:space="preserve">(713) 345-8115   </w:t>
        <w:tab/>
        <w:tab/>
        <w:tab/>
        <w:tab/>
        <w:tab/>
        <w:tab/>
        <w:tab/>
        <w:tab/>
        <w:tab/>
        <w:t xml:space="preserve">              PEARLAND, TX 77584</w:t>
      </w:r>
    </w:p>
    <w:p>
      <w:pPr>
        <w:pStyle w:val="SubPoint"/>
        <w:numPr>
          <w:ilvl w:val="0"/>
          <w:numId w:val="0"/>
        </w:numPr>
        <w:tabs>
          <w:tab w:val="clear" w:pos="810"/>
          <w:tab w:val="clear" w:pos="1080"/>
          <w:tab w:val="clear" w:pos="2430"/>
          <w:tab w:val="left" w:pos="0" w:leader="none"/>
        </w:tabs>
        <w:ind w:hanging="0" w:start="-720" w:end="0"/>
        <w:rPr>
          <w:b/>
          <w:sz w:val="22"/>
        </w:rPr>
      </w:pPr>
      <w:r>
        <w:rPr>
          <w:b/>
          <w:sz w:val="22"/>
        </w:rPr>
        <w:t>EMPLOYMENT HISTORY</w:t>
      </w:r>
    </w:p>
    <w:p>
      <w:pPr>
        <w:pStyle w:val="SubPoint"/>
        <w:numPr>
          <w:ilvl w:val="0"/>
          <w:numId w:val="0"/>
        </w:numPr>
        <w:tabs>
          <w:tab w:val="clear" w:pos="810"/>
          <w:tab w:val="clear" w:pos="1080"/>
          <w:tab w:val="clear" w:pos="2430"/>
          <w:tab w:val="left" w:pos="0" w:leader="none"/>
        </w:tabs>
        <w:ind w:hanging="0" w:start="-720" w:end="0"/>
        <w:rPr/>
      </w:pPr>
      <w:r>
        <w:rPr/>
        <w:t>8/00-Present</w:t>
        <w:tab/>
      </w:r>
      <w:r>
        <w:rPr>
          <w:b/>
        </w:rPr>
        <w:t xml:space="preserve">ENRON BROADBAND SERVICES, INC. </w:t>
        <w:tab/>
        <w:tab/>
        <w:tab/>
        <w:tab/>
        <w:tab/>
        <w:t xml:space="preserve">              Houston, Texas</w:t>
      </w:r>
    </w:p>
    <w:p>
      <w:pPr>
        <w:pStyle w:val="SubPoint"/>
        <w:numPr>
          <w:ilvl w:val="0"/>
          <w:numId w:val="0"/>
        </w:numPr>
        <w:tabs>
          <w:tab w:val="clear" w:pos="810"/>
          <w:tab w:val="clear" w:pos="1080"/>
          <w:tab w:val="clear" w:pos="2430"/>
          <w:tab w:val="left" w:pos="0" w:leader="none"/>
        </w:tabs>
        <w:ind w:hanging="0" w:start="-720" w:end="0"/>
        <w:rPr/>
      </w:pPr>
      <w:r>
        <w:rPr/>
        <w:tab/>
      </w:r>
      <w:r>
        <w:rPr>
          <w:b/>
        </w:rPr>
        <w:t>Analyst II, Origination: Digital Content Services and Home Networking</w:t>
      </w:r>
    </w:p>
    <w:p>
      <w:pPr>
        <w:pStyle w:val="SubPoint"/>
        <w:numPr>
          <w:ilvl w:val="0"/>
          <w:numId w:val="3"/>
        </w:numPr>
        <w:tabs>
          <w:tab w:val="clear" w:pos="810"/>
          <w:tab w:val="clear" w:pos="2430"/>
          <w:tab w:val="left" w:pos="360" w:leader="none"/>
          <w:tab w:val="left" w:pos="1080" w:leader="none"/>
        </w:tabs>
        <w:ind w:hanging="360" w:start="360" w:end="0"/>
        <w:rPr/>
      </w:pPr>
      <w:r>
        <w:rPr/>
        <w:t xml:space="preserve">Understanding the deregulation of open-access to measure penetration into new markets for home networking devices.  </w:t>
      </w:r>
    </w:p>
    <w:p>
      <w:pPr>
        <w:pStyle w:val="SubPoint"/>
        <w:numPr>
          <w:ilvl w:val="0"/>
          <w:numId w:val="3"/>
        </w:numPr>
        <w:tabs>
          <w:tab w:val="clear" w:pos="810"/>
          <w:tab w:val="clear" w:pos="2430"/>
          <w:tab w:val="left" w:pos="360" w:leader="none"/>
          <w:tab w:val="left" w:pos="1080" w:leader="none"/>
        </w:tabs>
        <w:ind w:hanging="360" w:start="360" w:end="0"/>
        <w:rPr/>
      </w:pPr>
      <w:r>
        <w:rPr/>
        <w:t>Responsible for developing the Home Networking Strategy to increase distribution and decrease costs for the Entertainment on Demand Service.</w:t>
      </w:r>
    </w:p>
    <w:p>
      <w:pPr>
        <w:pStyle w:val="SubPoint"/>
        <w:numPr>
          <w:ilvl w:val="0"/>
          <w:numId w:val="3"/>
        </w:numPr>
        <w:tabs>
          <w:tab w:val="clear" w:pos="810"/>
          <w:tab w:val="clear" w:pos="2430"/>
          <w:tab w:val="left" w:pos="360" w:leader="none"/>
          <w:tab w:val="left" w:pos="1080" w:leader="none"/>
        </w:tabs>
        <w:ind w:hanging="360" w:start="360" w:end="0"/>
        <w:rPr/>
      </w:pPr>
      <w:r>
        <w:rPr/>
        <w:t>Developing the next-generation home gateway business creating additional revenue streams and relationships with service providers to grow the basic service offering.</w:t>
      </w:r>
    </w:p>
    <w:p>
      <w:pPr>
        <w:pStyle w:val="SubPoint"/>
        <w:numPr>
          <w:ilvl w:val="0"/>
          <w:numId w:val="3"/>
        </w:numPr>
        <w:tabs>
          <w:tab w:val="clear" w:pos="810"/>
          <w:tab w:val="clear" w:pos="2430"/>
          <w:tab w:val="left" w:pos="360" w:leader="none"/>
          <w:tab w:val="left" w:pos="1080" w:leader="none"/>
        </w:tabs>
        <w:ind w:hanging="360" w:start="360" w:end="0"/>
        <w:rPr/>
      </w:pPr>
      <w:r>
        <w:rPr/>
        <w:t>Developed and ran the Phase I Blockbuster financial model, while reconciling with the long-term strategy model for the On Demand Project with earnings of $57 Million.</w:t>
      </w:r>
    </w:p>
    <w:p>
      <w:pPr>
        <w:pStyle w:val="SubPoint"/>
        <w:numPr>
          <w:ilvl w:val="0"/>
          <w:numId w:val="3"/>
        </w:numPr>
        <w:tabs>
          <w:tab w:val="clear" w:pos="810"/>
          <w:tab w:val="clear" w:pos="2430"/>
          <w:tab w:val="left" w:pos="360" w:leader="none"/>
          <w:tab w:val="left" w:pos="1080" w:leader="none"/>
        </w:tabs>
        <w:ind w:hanging="360" w:start="360" w:end="0"/>
        <w:rPr/>
      </w:pPr>
      <w:r>
        <w:rPr/>
        <w:t>Worked with the Origination, Underwriting, and RAC groups to complete the deal flow for the Phase I financial model approving project costs.</w:t>
      </w:r>
    </w:p>
    <w:p>
      <w:pPr>
        <w:pStyle w:val="SubPoint"/>
        <w:numPr>
          <w:ilvl w:val="0"/>
          <w:numId w:val="3"/>
        </w:numPr>
        <w:tabs>
          <w:tab w:val="clear" w:pos="810"/>
          <w:tab w:val="clear" w:pos="2430"/>
          <w:tab w:val="left" w:pos="360" w:leader="none"/>
          <w:tab w:val="left" w:pos="1080" w:leader="none"/>
        </w:tabs>
        <w:ind w:hanging="360" w:start="360" w:end="0"/>
        <w:rPr/>
      </w:pPr>
      <w:r>
        <w:rPr/>
        <w:t>Managed the creation of the Oracle based Event Log Aggregation System used to generate business reports for measuring the success of the Video On Demand Project Revenue Streams, Usage, and Quality of Service.</w:t>
      </w:r>
    </w:p>
    <w:p>
      <w:pPr>
        <w:pStyle w:val="SubPoint"/>
        <w:numPr>
          <w:ilvl w:val="0"/>
          <w:numId w:val="0"/>
        </w:numPr>
        <w:tabs>
          <w:tab w:val="clear" w:pos="810"/>
          <w:tab w:val="clear" w:pos="1080"/>
          <w:tab w:val="clear" w:pos="2430"/>
          <w:tab w:val="left" w:pos="0" w:leader="none"/>
        </w:tabs>
        <w:ind w:hanging="0" w:start="-720" w:end="0"/>
        <w:rPr/>
      </w:pPr>
      <w:r>
        <w:rPr/>
      </w:r>
    </w:p>
    <w:p>
      <w:pPr>
        <w:pStyle w:val="SubPoint"/>
        <w:numPr>
          <w:ilvl w:val="0"/>
          <w:numId w:val="0"/>
        </w:numPr>
        <w:tabs>
          <w:tab w:val="clear" w:pos="810"/>
          <w:tab w:val="clear" w:pos="1080"/>
          <w:tab w:val="clear" w:pos="2430"/>
          <w:tab w:val="left" w:pos="0" w:leader="none"/>
        </w:tabs>
        <w:ind w:hanging="0" w:start="-720" w:end="0"/>
        <w:rPr/>
      </w:pPr>
      <w:r>
        <w:rPr/>
        <w:t>11/99-8/00</w:t>
        <w:tab/>
      </w:r>
      <w:r>
        <w:rPr>
          <w:b/>
        </w:rPr>
        <w:t xml:space="preserve">ENRON BROADBAND SERVICES, INC. </w:t>
        <w:tab/>
        <w:tab/>
        <w:tab/>
        <w:tab/>
        <w:tab/>
        <w:t xml:space="preserve">              Houston, Texas</w:t>
      </w:r>
    </w:p>
    <w:p>
      <w:pPr>
        <w:pStyle w:val="SubPoint"/>
        <w:numPr>
          <w:ilvl w:val="0"/>
          <w:numId w:val="0"/>
        </w:numPr>
        <w:tabs>
          <w:tab w:val="clear" w:pos="810"/>
          <w:tab w:val="clear" w:pos="1080"/>
          <w:tab w:val="clear" w:pos="2430"/>
          <w:tab w:val="left" w:pos="0" w:leader="none"/>
        </w:tabs>
        <w:ind w:hanging="0" w:start="-720" w:end="0"/>
        <w:rPr/>
      </w:pPr>
      <w:r>
        <w:rPr/>
        <w:tab/>
      </w:r>
      <w:r>
        <w:rPr>
          <w:b/>
        </w:rPr>
        <w:t>Analyst, Origination: Content Originator</w:t>
      </w:r>
    </w:p>
    <w:p>
      <w:pPr>
        <w:pStyle w:val="SubPoint"/>
        <w:numPr>
          <w:ilvl w:val="0"/>
          <w:numId w:val="3"/>
        </w:numPr>
        <w:tabs>
          <w:tab w:val="clear" w:pos="810"/>
          <w:tab w:val="clear" w:pos="2430"/>
          <w:tab w:val="left" w:pos="360" w:leader="none"/>
          <w:tab w:val="left" w:pos="1080" w:leader="none"/>
        </w:tabs>
        <w:ind w:hanging="360" w:start="360" w:end="0"/>
        <w:rPr/>
      </w:pPr>
      <w:r>
        <w:rPr/>
        <w:t>Analyzed long-haul distribution efforts among major industry leaders and government for setting value to fiber-based deal flow with the Distribution Desk.</w:t>
      </w:r>
    </w:p>
    <w:p>
      <w:pPr>
        <w:pStyle w:val="SubPoint"/>
        <w:numPr>
          <w:ilvl w:val="0"/>
          <w:numId w:val="3"/>
        </w:numPr>
        <w:tabs>
          <w:tab w:val="clear" w:pos="810"/>
          <w:tab w:val="clear" w:pos="2430"/>
          <w:tab w:val="left" w:pos="360" w:leader="none"/>
          <w:tab w:val="left" w:pos="1080" w:leader="none"/>
        </w:tabs>
        <w:ind w:hanging="360" w:start="360" w:end="0"/>
        <w:rPr/>
      </w:pPr>
      <w:r>
        <w:rPr/>
        <w:t>Member of an intensive swat team tasked with creating a business plan for the StationCast group to implement the use of bandwidth in an innovative way showcasing the Enron Intelligent Network.</w:t>
      </w:r>
    </w:p>
    <w:p>
      <w:pPr>
        <w:pStyle w:val="SubPoint"/>
        <w:numPr>
          <w:ilvl w:val="0"/>
          <w:numId w:val="3"/>
        </w:numPr>
        <w:tabs>
          <w:tab w:val="clear" w:pos="810"/>
          <w:tab w:val="clear" w:pos="2430"/>
          <w:tab w:val="left" w:pos="360" w:leader="none"/>
          <w:tab w:val="left" w:pos="1080" w:leader="none"/>
        </w:tabs>
        <w:ind w:hanging="360" w:start="360" w:end="0"/>
        <w:rPr/>
      </w:pPr>
      <w:r>
        <w:rPr/>
        <w:t>Created original StationCast Website ultimately being EBS’ first customer and serving as a benchmark for improving technical operations for future MediaCast clientele.</w:t>
      </w:r>
    </w:p>
    <w:p>
      <w:pPr>
        <w:pStyle w:val="SubPoint"/>
        <w:numPr>
          <w:ilvl w:val="0"/>
          <w:numId w:val="3"/>
        </w:numPr>
        <w:tabs>
          <w:tab w:val="clear" w:pos="810"/>
          <w:tab w:val="clear" w:pos="2430"/>
          <w:tab w:val="left" w:pos="360" w:leader="none"/>
          <w:tab w:val="left" w:pos="1080" w:leader="none"/>
        </w:tabs>
        <w:ind w:hanging="360" w:start="360" w:end="0"/>
        <w:rPr/>
      </w:pPr>
      <w:r>
        <w:rPr/>
        <w:t>Researched and compiled competitive profiles for enhancement of business plan and formulation of strategy.</w:t>
      </w:r>
    </w:p>
    <w:p>
      <w:pPr>
        <w:pStyle w:val="SubPoint"/>
        <w:numPr>
          <w:ilvl w:val="0"/>
          <w:numId w:val="3"/>
        </w:numPr>
        <w:tabs>
          <w:tab w:val="clear" w:pos="810"/>
          <w:tab w:val="clear" w:pos="2430"/>
          <w:tab w:val="left" w:pos="360" w:leader="none"/>
          <w:tab w:val="left" w:pos="1080" w:leader="none"/>
        </w:tabs>
        <w:ind w:hanging="360" w:start="360" w:end="0"/>
        <w:rPr/>
      </w:pPr>
      <w:r>
        <w:rPr/>
        <w:t>Solely responsible for all logistics and collateral including copy and press process for major trade shows.</w:t>
      </w:r>
    </w:p>
    <w:p>
      <w:pPr>
        <w:pStyle w:val="SubPoint"/>
        <w:numPr>
          <w:ilvl w:val="0"/>
          <w:numId w:val="3"/>
        </w:numPr>
        <w:tabs>
          <w:tab w:val="clear" w:pos="810"/>
          <w:tab w:val="clear" w:pos="2430"/>
          <w:tab w:val="left" w:pos="360" w:leader="none"/>
          <w:tab w:val="left" w:pos="1080" w:leader="none"/>
        </w:tabs>
        <w:ind w:hanging="360" w:start="360" w:end="0"/>
        <w:rPr/>
      </w:pPr>
      <w:r>
        <w:rPr/>
        <w:t>Identified potential strategic relationships to incorporate all services of EBS, including Palm VII, Microsoft, Saatchi and Saatchi, and Kodak companies.</w:t>
      </w:r>
    </w:p>
    <w:p>
      <w:pPr>
        <w:pStyle w:val="SubPoint"/>
        <w:numPr>
          <w:ilvl w:val="0"/>
          <w:numId w:val="0"/>
        </w:numPr>
        <w:tabs>
          <w:tab w:val="clear" w:pos="810"/>
          <w:tab w:val="clear" w:pos="1080"/>
          <w:tab w:val="clear" w:pos="2430"/>
        </w:tabs>
        <w:ind w:hanging="0" w:start="0"/>
        <w:rPr>
          <w:sz w:val="16"/>
        </w:rPr>
      </w:pPr>
      <w:r>
        <w:rPr>
          <w:sz w:val="16"/>
        </w:rPr>
      </w:r>
    </w:p>
    <w:p>
      <w:pPr>
        <w:pStyle w:val="SubPoint"/>
        <w:numPr>
          <w:ilvl w:val="0"/>
          <w:numId w:val="0"/>
        </w:numPr>
        <w:tabs>
          <w:tab w:val="clear" w:pos="810"/>
          <w:tab w:val="clear" w:pos="1080"/>
          <w:tab w:val="clear" w:pos="2430"/>
          <w:tab w:val="left" w:pos="-720" w:leader="none"/>
        </w:tabs>
        <w:ind w:hanging="1440" w:start="720" w:end="0"/>
        <w:rPr/>
      </w:pPr>
      <w:r>
        <w:rPr/>
        <w:t>7/98-7/99</w:t>
      </w:r>
      <w:r>
        <w:rPr>
          <w:b/>
        </w:rPr>
        <w:t xml:space="preserve"> </w:t>
        <w:tab/>
        <w:t>STAGE STORES, INC.</w:t>
        <w:tab/>
        <w:tab/>
        <w:tab/>
        <w:tab/>
        <w:tab/>
        <w:tab/>
        <w:tab/>
        <w:tab/>
        <w:t xml:space="preserve">              Houston, Texas</w:t>
      </w:r>
    </w:p>
    <w:p>
      <w:pPr>
        <w:pStyle w:val="SubPoint"/>
        <w:numPr>
          <w:ilvl w:val="0"/>
          <w:numId w:val="0"/>
        </w:numPr>
        <w:tabs>
          <w:tab w:val="clear" w:pos="810"/>
          <w:tab w:val="clear" w:pos="1080"/>
          <w:tab w:val="clear" w:pos="2430"/>
          <w:tab w:val="left" w:pos="0" w:leader="none"/>
        </w:tabs>
        <w:ind w:hanging="0" w:start="0"/>
        <w:rPr/>
      </w:pPr>
      <w:r>
        <w:rPr/>
        <w:t xml:space="preserve">Buyer </w:t>
      </w:r>
    </w:p>
    <w:p>
      <w:pPr>
        <w:pStyle w:val="SubPoint"/>
        <w:numPr>
          <w:ilvl w:val="0"/>
          <w:numId w:val="2"/>
        </w:numPr>
        <w:tabs>
          <w:tab w:val="clear" w:pos="810"/>
          <w:tab w:val="clear" w:pos="1080"/>
          <w:tab w:val="clear" w:pos="2430"/>
          <w:tab w:val="left" w:pos="360" w:leader="none"/>
        </w:tabs>
        <w:ind w:hanging="0" w:start="720"/>
        <w:rPr/>
      </w:pPr>
      <w:r>
        <w:rPr/>
        <w:t>Created weekly sales and inventory reports for upper management demonstrating progress towards company expectations for margin, sales, and profit.</w:t>
      </w:r>
    </w:p>
    <w:p>
      <w:pPr>
        <w:pStyle w:val="SubPoint"/>
        <w:numPr>
          <w:ilvl w:val="0"/>
          <w:numId w:val="2"/>
        </w:numPr>
        <w:tabs>
          <w:tab w:val="clear" w:pos="810"/>
          <w:tab w:val="clear" w:pos="1080"/>
          <w:tab w:val="clear" w:pos="2430"/>
          <w:tab w:val="left" w:pos="360" w:leader="none"/>
        </w:tabs>
        <w:ind w:hanging="0" w:start="720"/>
        <w:rPr/>
      </w:pPr>
      <w:r>
        <w:rPr/>
        <w:t>Responsible for 60MM in inventory product selection, allocation, distribution, and advertising that met departmental marketing and financial strategies for over 600 stores.</w:t>
      </w:r>
    </w:p>
    <w:p>
      <w:pPr>
        <w:pStyle w:val="SubPoint"/>
        <w:numPr>
          <w:ilvl w:val="0"/>
          <w:numId w:val="2"/>
        </w:numPr>
        <w:tabs>
          <w:tab w:val="clear" w:pos="810"/>
          <w:tab w:val="clear" w:pos="1080"/>
          <w:tab w:val="clear" w:pos="2430"/>
          <w:tab w:val="left" w:pos="360" w:leader="none"/>
        </w:tabs>
        <w:ind w:hanging="0" w:start="720"/>
        <w:rPr/>
      </w:pPr>
      <w:r>
        <w:rPr/>
        <w:t>Negotiated product availability, pricing, and advertising with 20 vendors to ensure proper financial performance.</w:t>
      </w:r>
    </w:p>
    <w:p>
      <w:pPr>
        <w:pStyle w:val="SubPoint"/>
        <w:numPr>
          <w:ilvl w:val="0"/>
          <w:numId w:val="2"/>
        </w:numPr>
        <w:tabs>
          <w:tab w:val="clear" w:pos="810"/>
          <w:tab w:val="clear" w:pos="1080"/>
          <w:tab w:val="clear" w:pos="2430"/>
          <w:tab w:val="left" w:pos="360" w:leader="none"/>
        </w:tabs>
        <w:ind w:hanging="0" w:start="720"/>
        <w:rPr/>
      </w:pPr>
      <w:r>
        <w:rPr/>
        <w:t xml:space="preserve">Provided input and guidance to the Advertising Department regarding product promotion, audience demographics, and marketing messages.  </w:t>
      </w:r>
    </w:p>
    <w:p>
      <w:pPr>
        <w:pStyle w:val="SubPoint"/>
        <w:numPr>
          <w:ilvl w:val="0"/>
          <w:numId w:val="0"/>
        </w:numPr>
        <w:tabs>
          <w:tab w:val="clear" w:pos="810"/>
          <w:tab w:val="clear" w:pos="1080"/>
          <w:tab w:val="clear" w:pos="2430"/>
        </w:tabs>
        <w:ind w:hanging="0" w:start="0"/>
        <w:rPr/>
      </w:pPr>
      <w:r>
        <w:rPr/>
      </w:r>
    </w:p>
    <w:p>
      <w:pPr>
        <w:pStyle w:val="Normal"/>
        <w:ind w:hanging="720" w:end="0"/>
        <w:rPr/>
      </w:pPr>
      <w:r>
        <w:rPr/>
        <w:t>7/97-7/98</w:t>
        <w:tab/>
      </w:r>
      <w:r>
        <w:rPr>
          <w:b/>
        </w:rPr>
        <w:t>ENRON INTERNATIONAL</w:t>
        <w:tab/>
        <w:tab/>
        <w:tab/>
        <w:tab/>
        <w:tab/>
        <w:tab/>
        <w:tab/>
        <w:tab/>
        <w:t>Houston, Texas</w:t>
      </w:r>
    </w:p>
    <w:p>
      <w:pPr>
        <w:pStyle w:val="HeadingBase"/>
        <w:keepNext w:val="false"/>
        <w:keepLines w:val="false"/>
        <w:spacing w:lineRule="auto" w:line="240" w:before="0" w:after="0"/>
        <w:rPr>
          <w:caps w:val="false"/>
          <w:smallCaps w:val="false"/>
        </w:rPr>
      </w:pPr>
      <w:r>
        <w:rPr>
          <w:caps w:val="false"/>
          <w:smallCaps w:val="false"/>
        </w:rPr>
        <w:t>Analyst, Origination:  Azurix Originator</w:t>
        <w:tab/>
      </w:r>
    </w:p>
    <w:p>
      <w:pPr>
        <w:pStyle w:val="SubPoint"/>
        <w:numPr>
          <w:ilvl w:val="0"/>
          <w:numId w:val="2"/>
        </w:numPr>
        <w:tabs>
          <w:tab w:val="clear" w:pos="810"/>
          <w:tab w:val="clear" w:pos="1080"/>
          <w:tab w:val="clear" w:pos="2430"/>
          <w:tab w:val="left" w:pos="0" w:leader="none"/>
        </w:tabs>
        <w:ind w:hanging="0" w:start="720"/>
        <w:rPr/>
      </w:pPr>
      <w:r>
        <w:rPr/>
        <w:t>Worked in Mendoza, Argentina to prepare comprehensive bid documents, following specific timelines and rules pertaining to local and state government bid policies.</w:t>
      </w:r>
    </w:p>
    <w:p>
      <w:pPr>
        <w:pStyle w:val="SubPoint"/>
        <w:numPr>
          <w:ilvl w:val="0"/>
          <w:numId w:val="2"/>
        </w:numPr>
        <w:tabs>
          <w:tab w:val="clear" w:pos="810"/>
          <w:tab w:val="clear" w:pos="1080"/>
          <w:tab w:val="clear" w:pos="2430"/>
          <w:tab w:val="left" w:pos="0" w:leader="none"/>
        </w:tabs>
        <w:ind w:hanging="0" w:start="720"/>
        <w:rPr/>
      </w:pPr>
      <w:r>
        <w:rPr/>
        <w:t>Researched South American government regulations and procedures for bid submittal of a water treatment enhancement project.  This involved translating legal documentation written in Spanish for Azurix and it’s joint venture partners.</w:t>
      </w:r>
    </w:p>
    <w:p>
      <w:pPr>
        <w:pStyle w:val="SubPoint"/>
        <w:numPr>
          <w:ilvl w:val="0"/>
          <w:numId w:val="2"/>
        </w:numPr>
        <w:tabs>
          <w:tab w:val="clear" w:pos="810"/>
          <w:tab w:val="clear" w:pos="1080"/>
          <w:tab w:val="clear" w:pos="2430"/>
          <w:tab w:val="left" w:pos="0" w:leader="none"/>
        </w:tabs>
        <w:ind w:hanging="0" w:start="720"/>
        <w:rPr/>
      </w:pPr>
      <w:r>
        <w:rPr/>
        <w:t xml:space="preserve">Closed Obras Sanitarias de Mendoza, the first water deal for Azurix, working closely with it’s joint venture partners, and Argentine legal teams for the multi-million dollar water treatment facility. </w:t>
      </w:r>
    </w:p>
    <w:p>
      <w:pPr>
        <w:pStyle w:val="HeadingBase"/>
        <w:keepNext w:val="false"/>
        <w:keepLines w:val="false"/>
        <w:tabs>
          <w:tab w:val="clear" w:pos="720"/>
          <w:tab w:val="left" w:pos="630" w:leader="none"/>
        </w:tabs>
        <w:spacing w:lineRule="auto" w:line="240" w:before="0" w:after="0"/>
        <w:ind w:start="-720" w:end="0"/>
        <w:rPr>
          <w:b/>
          <w:caps w:val="false"/>
          <w:smallCaps w:val="false"/>
          <w:sz w:val="22"/>
        </w:rPr>
      </w:pPr>
      <w:r>
        <w:rPr>
          <w:b/>
          <w:caps w:val="false"/>
          <w:smallCaps w:val="false"/>
          <w:sz w:val="22"/>
        </w:rPr>
        <w:t>INTERNSHIP EXPERIENCE</w:t>
      </w:r>
    </w:p>
    <w:p>
      <w:pPr>
        <w:pStyle w:val="CompanyNameOne"/>
        <w:tabs>
          <w:tab w:val="clear" w:pos="1440"/>
          <w:tab w:val="clear" w:pos="7794"/>
          <w:tab w:val="left" w:pos="0" w:leader="none"/>
        </w:tabs>
        <w:ind w:start="-720" w:end="0"/>
        <w:rPr/>
      </w:pPr>
      <w:r>
        <w:rPr/>
        <w:t>Spring 1997</w:t>
      </w:r>
      <w:r>
        <w:rPr>
          <w:b/>
        </w:rPr>
        <w:tab/>
        <w:t>HOUSTON LIVESTOCK SHOW AND RODEO</w:t>
        <w:tab/>
        <w:tab/>
        <w:tab/>
        <w:tab/>
        <w:tab/>
        <w:tab/>
        <w:t>Houston, Texas</w:t>
      </w:r>
    </w:p>
    <w:p>
      <w:pPr>
        <w:pStyle w:val="SubPoint"/>
        <w:numPr>
          <w:ilvl w:val="0"/>
          <w:numId w:val="2"/>
        </w:numPr>
        <w:tabs>
          <w:tab w:val="clear" w:pos="810"/>
          <w:tab w:val="clear" w:pos="1080"/>
          <w:tab w:val="clear" w:pos="2430"/>
          <w:tab w:val="left" w:pos="0" w:leader="none"/>
        </w:tabs>
        <w:ind w:hanging="0" w:start="720"/>
        <w:rPr/>
      </w:pPr>
      <w:r>
        <w:rPr/>
        <w:t>One of eight chosen from universities to research, author, and publish articles on the HLSR Website.</w:t>
      </w:r>
    </w:p>
    <w:p>
      <w:pPr>
        <w:pStyle w:val="CompanyNameOne"/>
        <w:tabs>
          <w:tab w:val="clear" w:pos="1440"/>
          <w:tab w:val="clear" w:pos="7794"/>
          <w:tab w:val="left" w:pos="0" w:leader="none"/>
        </w:tabs>
        <w:ind w:start="-720" w:end="0"/>
        <w:rPr/>
      </w:pPr>
      <w:r>
        <w:rPr/>
        <w:t>Spring 1996</w:t>
      </w:r>
      <w:r>
        <w:rPr>
          <w:b/>
        </w:rPr>
        <w:tab/>
        <w:t>ENRON CORPORATION PUBLIC RELATIONS</w:t>
        <w:tab/>
        <w:tab/>
        <w:tab/>
        <w:tab/>
        <w:t xml:space="preserve">              Houston, Texas</w:t>
      </w:r>
    </w:p>
    <w:p>
      <w:pPr>
        <w:pStyle w:val="SubPoint"/>
        <w:numPr>
          <w:ilvl w:val="0"/>
          <w:numId w:val="2"/>
        </w:numPr>
        <w:ind w:hanging="0" w:start="720"/>
        <w:rPr>
          <w:sz w:val="12"/>
        </w:rPr>
      </w:pPr>
      <w:r>
        <w:rPr/>
        <w:t>Authored and produced in-house publications geared toward communicating Enron’s core goals.</w:t>
      </w:r>
    </w:p>
    <w:p>
      <w:pPr>
        <w:pStyle w:val="SubPoint"/>
        <w:numPr>
          <w:ilvl w:val="0"/>
          <w:numId w:val="0"/>
        </w:numPr>
        <w:tabs>
          <w:tab w:val="clear" w:pos="810"/>
          <w:tab w:val="clear" w:pos="1080"/>
          <w:tab w:val="clear" w:pos="2430"/>
          <w:tab w:val="left" w:pos="0" w:leader="none"/>
        </w:tabs>
        <w:ind w:hanging="0" w:start="-720" w:end="0"/>
        <w:rPr>
          <w:b/>
          <w:sz w:val="22"/>
        </w:rPr>
      </w:pPr>
      <w:r>
        <w:rPr>
          <w:b/>
          <w:sz w:val="22"/>
        </w:rPr>
        <w:t>EDUCATION</w:t>
      </w:r>
    </w:p>
    <w:p>
      <w:pPr>
        <w:pStyle w:val="SubPoint"/>
        <w:numPr>
          <w:ilvl w:val="0"/>
          <w:numId w:val="0"/>
        </w:numPr>
        <w:tabs>
          <w:tab w:val="clear" w:pos="810"/>
          <w:tab w:val="clear" w:pos="1080"/>
          <w:tab w:val="clear" w:pos="2430"/>
          <w:tab w:val="left" w:pos="0" w:leader="none"/>
        </w:tabs>
        <w:ind w:hanging="0" w:start="0"/>
        <w:rPr>
          <w:b/>
        </w:rPr>
      </w:pPr>
      <w:r>
        <w:rPr>
          <w:b/>
        </w:rPr>
        <w:t>TEXAS A&amp;M UNIVERSITY</w:t>
        <w:tab/>
        <w:t xml:space="preserve">                                                  </w:t>
        <w:tab/>
        <w:tab/>
        <w:tab/>
        <w:tab/>
        <w:t xml:space="preserve">   College Station, Texas</w:t>
      </w:r>
    </w:p>
    <w:p>
      <w:pPr>
        <w:pStyle w:val="Objective"/>
        <w:spacing w:lineRule="auto" w:line="240" w:before="0" w:after="0"/>
        <w:rPr/>
      </w:pPr>
      <w:r>
        <w:rPr/>
        <w:t>B.A., International Studies (European concentration), May 1997</w:t>
      </w:r>
    </w:p>
    <w:p>
      <w:pPr>
        <w:pStyle w:val="Heading7"/>
        <w:ind w:hanging="0" w:start="0"/>
        <w:rPr>
          <w:sz w:val="20"/>
        </w:rPr>
      </w:pPr>
      <w:r>
        <w:rPr>
          <w:sz w:val="20"/>
        </w:rPr>
        <w:t>UNIVERSITY OF WISCONSIN</w:t>
        <w:tab/>
        <w:tab/>
        <w:tab/>
        <w:tab/>
        <w:tab/>
        <w:tab/>
        <w:tab/>
        <w:t xml:space="preserve">                                Seville, Spain</w:t>
      </w:r>
    </w:p>
    <w:p>
      <w:pPr>
        <w:pStyle w:val="SubPoint"/>
        <w:numPr>
          <w:ilvl w:val="0"/>
          <w:numId w:val="0"/>
        </w:numPr>
        <w:ind w:hanging="0" w:start="0"/>
        <w:rPr/>
      </w:pPr>
      <w:r>
        <w:rPr/>
        <w:t>Semester abroad including intensive Spanish and International Business courses, Spring 1996</w:t>
      </w:r>
      <w:r>
        <w:rPr>
          <w:b/>
        </w:rPr>
        <w:t xml:space="preserve"> </w:t>
      </w:r>
    </w:p>
    <w:p>
      <w:pPr>
        <w:pStyle w:val="SubPoint"/>
        <w:numPr>
          <w:ilvl w:val="0"/>
          <w:numId w:val="0"/>
        </w:numPr>
        <w:ind w:hanging="0" w:start="0"/>
        <w:rPr>
          <w:b/>
        </w:rPr>
      </w:pPr>
      <w:r>
        <w:rPr>
          <w:b/>
        </w:rPr>
        <w:t>THUNDERBIRD AMERICAN GRADUATE SCHOOL</w:t>
        <w:tab/>
        <w:tab/>
        <w:tab/>
        <w:tab/>
        <w:t xml:space="preserve">                          Phoenix, Arizona</w:t>
      </w:r>
    </w:p>
    <w:p>
      <w:pPr>
        <w:pStyle w:val="SubPoint"/>
        <w:numPr>
          <w:ilvl w:val="0"/>
          <w:numId w:val="0"/>
        </w:numPr>
        <w:spacing w:before="0" w:after="10"/>
        <w:ind w:hanging="0" w:start="0"/>
        <w:rPr/>
      </w:pPr>
      <w:r>
        <w:rPr/>
        <w:t>Completed the Finance and Accounting Executive Management Course, Spring 1997</w:t>
      </w:r>
    </w:p>
    <w:sectPr>
      <w:type w:val="nextPage"/>
      <w:pgSz w:w="12240" w:h="15840"/>
      <w:pgMar w:left="1080" w:right="1170" w:gutter="0" w:header="0" w:top="45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1089"/>
        </w:tabs>
        <w:ind w:start="1089"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2"/>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paragraph" w:styleId="Heading7">
    <w:name w:val="heading 7"/>
    <w:basedOn w:val="Normal"/>
    <w:next w:val="Normal"/>
    <w:qFormat/>
    <w:pPr>
      <w:keepNext w:val="true"/>
      <w:numPr>
        <w:ilvl w:val="6"/>
        <w:numId w:val="1"/>
      </w:numPr>
      <w:outlineLvl w:val="6"/>
    </w:pPr>
    <w:rPr>
      <w:b/>
      <w:bCs/>
      <w:sz w:val="22"/>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rPr>
  </w:style>
  <w:style w:type="character" w:styleId="WW8NumSt3z0">
    <w:name w:val="WW8NumSt3z0"/>
    <w:qFormat/>
    <w:rPr>
      <w:rFonts w:ascii="TIMES" w:hAnsi="TIMES" w:cs="TIMES"/>
      <w:sz w:val="12"/>
    </w:rPr>
  </w:style>
  <w:style w:type="character" w:styleId="WW8NumSt4z0">
    <w:name w:val="WW8NumSt4z0"/>
    <w:qFormat/>
    <w:rPr>
      <w:rFonts w:ascii="Tms Rmn" w:hAnsi="Tms Rmn" w:cs="Tms Rmn"/>
      <w:sz w:val="16"/>
    </w:rPr>
  </w:style>
  <w:style w:type="character" w:styleId="WW8NumSt5z0">
    <w:name w:val="WW8NumSt5z0"/>
    <w:qFormat/>
    <w:rPr>
      <w:rFonts w:ascii="Tms Rmn" w:hAnsi="Tms Rmn" w:cs="Tms Rmn"/>
      <w:sz w:val="12"/>
    </w:rPr>
  </w:style>
  <w:style w:type="character" w:styleId="WW8NumSt6z0">
    <w:name w:val="WW8NumSt6z0"/>
    <w:qFormat/>
    <w:rPr>
      <w:rFonts w:ascii="Tms Rmn" w:hAnsi="Tms Rmn" w:cs="Tms Rmn"/>
      <w:sz w:val="12"/>
    </w:rPr>
  </w:style>
  <w:style w:type="character" w:styleId="WW8NumSt7z0">
    <w:name w:val="WW8NumSt7z0"/>
    <w:qFormat/>
    <w:rPr>
      <w:rFonts w:ascii="Tms Rmn" w:hAnsi="Tms Rmn" w:cs="Tms Rmn"/>
      <w:sz w:val="12"/>
    </w:rPr>
  </w:style>
  <w:style w:type="character" w:styleId="WW8NumSt8z0">
    <w:name w:val="WW8NumSt8z0"/>
    <w:qFormat/>
    <w:rPr>
      <w:rFonts w:ascii="Tms Rmn" w:hAnsi="Tms Rmn" w:cs="Tms Rmn"/>
      <w:sz w:val="12"/>
    </w:rPr>
  </w:style>
  <w:style w:type="character" w:styleId="WW8NumSt19z0">
    <w:name w:val="WW8NumSt19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z w:val="20"/>
    </w:rPr>
  </w:style>
  <w:style w:type="paragraph" w:styleId="CompanyName">
    <w:name w:val="Company Name"/>
    <w:basedOn w:val="Normal"/>
    <w:next w:val="JobTitle"/>
    <w:qFormat/>
    <w:pPr>
      <w:tabs>
        <w:tab w:val="clear" w:pos="720"/>
        <w:tab w:val="left" w:pos="1440" w:leader="none"/>
        <w:tab w:val="right" w:pos="7794" w:leader="none"/>
      </w:tabs>
      <w:spacing w:before="220" w:after="0"/>
      <w:jc w:val="start"/>
    </w:pPr>
    <w:rPr>
      <w:sz w:val="20"/>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0"/>
      <w:szCs w:val="20"/>
      <w:lang w:val="en-US" w:bidi="ar-SA" w:eastAsia="zh-CN"/>
    </w:rPr>
  </w:style>
  <w:style w:type="paragraph" w:styleId="Achievement">
    <w:name w:val="Achievement"/>
    <w:basedOn w:val="BodyText"/>
    <w:qFormat/>
    <w:pPr>
      <w:tabs>
        <w:tab w:val="clear" w:pos="720"/>
        <w:tab w:val="left" w:pos="2250" w:leader="none"/>
      </w:tabs>
      <w:spacing w:before="120" w:after="60"/>
      <w:ind w:hanging="0" w:start="720" w:end="0"/>
    </w:pPr>
    <w:rPr>
      <w:sz w:val="20"/>
    </w:rPr>
  </w:style>
  <w:style w:type="paragraph" w:styleId="Name">
    <w:name w:val="Name"/>
    <w:basedOn w:val="Normal"/>
    <w:next w:val="Normal"/>
    <w:qFormat/>
    <w:pPr>
      <w:spacing w:lineRule="atLeast" w:line="240"/>
      <w:jc w:val="center"/>
    </w:pPr>
    <w:rPr>
      <w:b/>
      <w:caps/>
      <w:spacing w:val="80"/>
      <w:sz w:val="28"/>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SubPoint">
    <w:name w:val="SubPoint"/>
    <w:basedOn w:val="Achievement"/>
    <w:qFormat/>
    <w:pPr>
      <w:numPr>
        <w:ilvl w:val="0"/>
        <w:numId w:val="2"/>
      </w:numPr>
      <w:tabs>
        <w:tab w:val="clear" w:pos="2250"/>
        <w:tab w:val="left" w:pos="810" w:leader="none"/>
        <w:tab w:val="left" w:pos="1080" w:leader="none"/>
        <w:tab w:val="left" w:pos="2430" w:leader="none"/>
      </w:tabs>
      <w:spacing w:before="0" w:after="10"/>
    </w:pPr>
    <w:rPr/>
  </w:style>
  <w:style w:type="paragraph" w:styleId="suppoint">
    <w:name w:val="suppoint"/>
    <w:basedOn w:val="Achievement"/>
    <w:qFormat/>
    <w:pPr>
      <w:tabs>
        <w:tab w:val="left" w:pos="2250" w:leader="none"/>
        <w:tab w:val="left" w:pos="2430" w:leader="none"/>
      </w:tabs>
      <w:ind w:hanging="270" w:start="2700" w:end="0"/>
    </w:pPr>
    <w:rPr/>
  </w:style>
  <w:style w:type="paragraph" w:styleId="BodyText2">
    <w:name w:val="Body Text 2"/>
    <w:basedOn w:val="Normal"/>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2001-06-06T12:12:00Z</dcterms:created>
  <dc:creator>kingkb</dc:creator>
  <dc:description/>
  <dc:language>en-CA</dc:language>
  <cp:lastModifiedBy>melanie_king</cp:lastModifiedBy>
  <cp:lastPrinted>2001-05-24T11:38:00Z</cp:lastPrinted>
  <dcterms:modified xsi:type="dcterms:W3CDTF">2001-06-06T12:13:00Z</dcterms:modified>
  <cp:revision>3</cp:revision>
  <dc:subject/>
  <dc:title>Resume</dc:title>
</cp:coreProperties>
</file>