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5,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/>
              <w:t>EB/GB LLC is an LLC formed to acquire and market 3-D seismic data in the East Breaks and Garden Banks area of the Gulf of Mexico. EB/GB has entered into an agreement with Petroleum Geo-Services to process the 3-D  seismic data.  Petroleum Geo-Services also receives a portion of sales revenues.  The EB/GB LLC interest reverts to 50%-50% once $30MM of revenue has been generated for the LLC.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EB/GB LLC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TYPE OF INVESTMENT:  </w:t>
      </w:r>
      <w:r>
        <w:rPr/>
        <w:t>Membership Interest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STOCK: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TRADING EXCHANGE: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STRIKE PRICE: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NET –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/mnt/main-storage/datasets/enron-docs/doc/EBGB_LLC.doc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/mnt/main-storage/datasets/enron-docs/doc/EBGB_LLC.doc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2000-09-05T21:11:00Z</dcterms:created>
  <dc:creator>mruane</dc:creator>
  <dc:description>MR: 9-20-99 added tax signoff</dc:description>
  <dc:language>en-CA</dc:language>
  <cp:lastModifiedBy>brian schwertner</cp:lastModifiedBy>
  <cp:lastPrinted>2000-09-07T19:46:00Z</cp:lastPrinted>
  <dcterms:modified xsi:type="dcterms:W3CDTF">2000-09-07T22:16:00Z</dcterms:modified>
  <cp:revision>4</cp:revision>
  <dc:subject/>
  <dc:title>ENRON RISK ASSESSMENT AND CONTROL</dc:title>
</cp:coreProperties>
</file>