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tab/>
        <w:tab/>
        <w:tab/>
        <w:tab/>
        <w:tab/>
        <w:tab/>
      </w:r>
    </w:p>
    <w:p>
      <w:pPr>
        <w:pStyle w:val="Normal"/>
        <w:rPr>
          <w:sz w:val="24"/>
        </w:rPr>
      </w:pPr>
      <w:r>
        <w:rPr>
          <w:sz w:val="24"/>
        </w:rPr>
      </w:r>
    </w:p>
    <w:p>
      <w:pPr>
        <w:pStyle w:val="BodyText"/>
        <w:spacing w:lineRule="exact" w:line="240"/>
        <w:jc w:val="both"/>
        <w:rPr/>
      </w:pPr>
      <w:r>
        <w:rPr/>
        <w:t>The Secretary</w:t>
      </w:r>
    </w:p>
    <w:p>
      <w:pPr>
        <w:pStyle w:val="BodyText"/>
        <w:spacing w:lineRule="exact" w:line="240"/>
        <w:jc w:val="both"/>
        <w:rPr/>
      </w:pPr>
      <w:r>
        <w:rPr/>
        <w:t>Ministry of Power</w:t>
      </w:r>
    </w:p>
    <w:p>
      <w:pPr>
        <w:pStyle w:val="BodyText"/>
        <w:spacing w:lineRule="exact" w:line="240"/>
        <w:jc w:val="both"/>
        <w:rPr/>
      </w:pPr>
      <w:r>
        <w:rPr/>
        <w:t>Shram Shakti Bhawan</w:t>
      </w:r>
    </w:p>
    <w:p>
      <w:pPr>
        <w:pStyle w:val="BodyText"/>
        <w:spacing w:lineRule="exact" w:line="240"/>
        <w:jc w:val="both"/>
        <w:rPr/>
      </w:pPr>
      <w:r>
        <w:rPr/>
        <w:t>Rafi Marg</w:t>
      </w:r>
    </w:p>
    <w:p>
      <w:pPr>
        <w:pStyle w:val="BodyText"/>
        <w:spacing w:lineRule="exact" w:line="240"/>
        <w:jc w:val="both"/>
        <w:rPr/>
      </w:pPr>
      <w:r>
        <w:rPr/>
        <w:t>New Delhi – 110 001</w:t>
      </w:r>
    </w:p>
    <w:p>
      <w:pPr>
        <w:pStyle w:val="BodyText"/>
        <w:spacing w:lineRule="exact" w:line="240"/>
        <w:jc w:val="both"/>
        <w:rPr/>
      </w:pPr>
      <w:r>
        <w:rPr/>
      </w:r>
    </w:p>
    <w:p>
      <w:pPr>
        <w:pStyle w:val="BodyText"/>
        <w:spacing w:lineRule="exact" w:line="240"/>
        <w:jc w:val="both"/>
        <w:rPr/>
      </w:pPr>
      <w:r>
        <w:rPr>
          <w:b/>
        </w:rPr>
        <w:t xml:space="preserve">Sub: </w:t>
      </w:r>
      <w:r>
        <w:rPr>
          <w:b/>
          <w:u w:val="single"/>
        </w:rPr>
        <w:t>Comments on Electricity Bill 2000, Sixth Draft</w:t>
      </w:r>
    </w:p>
    <w:p>
      <w:pPr>
        <w:pStyle w:val="Normal"/>
        <w:rPr>
          <w:b/>
          <w:sz w:val="24"/>
          <w:u w:val="single"/>
        </w:rPr>
      </w:pPr>
      <w:r>
        <w:rPr>
          <w:b/>
          <w:sz w:val="24"/>
          <w:u w:val="single"/>
        </w:rPr>
      </w:r>
    </w:p>
    <w:p>
      <w:pPr>
        <w:pStyle w:val="Normal"/>
        <w:rPr>
          <w:sz w:val="24"/>
        </w:rPr>
      </w:pPr>
      <w:r>
        <w:rPr>
          <w:sz w:val="24"/>
        </w:rPr>
        <w:t>Dear Sir:</w:t>
      </w:r>
    </w:p>
    <w:p>
      <w:pPr>
        <w:pStyle w:val="Normal"/>
        <w:rPr>
          <w:sz w:val="24"/>
        </w:rPr>
      </w:pPr>
      <w:r>
        <w:rPr>
          <w:sz w:val="24"/>
        </w:rPr>
      </w:r>
    </w:p>
    <w:p>
      <w:pPr>
        <w:pStyle w:val="BodyText"/>
        <w:spacing w:lineRule="atLeast" w:line="240"/>
        <w:jc w:val="both"/>
        <w:rPr/>
      </w:pPr>
      <w:r>
        <w:rPr/>
        <w:t>Enron has been pleased to review the sixth draft of the Electricity Bill 2000.   While there are several positive changes to the draft, overall we see a disturbing trend toward a less competitive market. Specifically, the over-regulation of Supply Companies is of concern, particularly because these companies play a vital role in the creation of a vibrant, competitive market by forcing the incumbent Generating and Distribution Companies to compete.  If the role of Supply Companies is reduced to being a clone of the incumbent companies, then India will not benefit from the liberalisation envisioned in the previous drafts of the Electricity Bill.</w:t>
      </w:r>
    </w:p>
    <w:p>
      <w:pPr>
        <w:pStyle w:val="BodyText"/>
        <w:spacing w:lineRule="atLeast" w:line="240"/>
        <w:jc w:val="both"/>
        <w:rPr/>
      </w:pPr>
      <w:r>
        <w:rPr/>
      </w:r>
    </w:p>
    <w:p>
      <w:pPr>
        <w:pStyle w:val="BodyText"/>
        <w:spacing w:lineRule="atLeast" w:line="240"/>
        <w:jc w:val="both"/>
        <w:rPr/>
      </w:pPr>
      <w:r>
        <w:rPr/>
        <w:t xml:space="preserve">Three sections are of particular concern and are discussed in some detail in our attached comments.  Sections 28(3) and 38(3) provide for the unacceptable full regulation of Supply Companies and their prices, a development that dooms any competitive market structure in India.  Sections 32(2) and 32(3)(b), which give the Central Government and State Legislatures unacceptable powers to divert supply, are also discussed.  Finally, the attached comments discuss the capping of electricity prices in extraordinary circumstances provided in Section 38(4).  </w:t>
      </w:r>
    </w:p>
    <w:p>
      <w:pPr>
        <w:pStyle w:val="BodyText"/>
        <w:spacing w:lineRule="atLeast" w:line="240"/>
        <w:jc w:val="both"/>
        <w:rPr/>
      </w:pPr>
      <w:r>
        <w:rPr/>
      </w:r>
    </w:p>
    <w:p>
      <w:pPr>
        <w:pStyle w:val="BodyText"/>
        <w:spacing w:lineRule="atLeast" w:line="240"/>
        <w:jc w:val="both"/>
        <w:rPr/>
      </w:pPr>
      <w:r>
        <w:rPr/>
        <w:t xml:space="preserve">If you would like to discuss any of the comments in further detail, please feel free to contact either Jane Wilson, our Vice President of Government and Regulatory Affairs, at 98200-88626, or K Seethayya, General Manager, at 011-335-6301.  </w:t>
      </w:r>
    </w:p>
    <w:p>
      <w:pPr>
        <w:pStyle w:val="BodyText"/>
        <w:spacing w:lineRule="atLeast" w:line="240"/>
        <w:jc w:val="both"/>
        <w:rPr/>
      </w:pPr>
      <w:r>
        <w:rPr/>
      </w:r>
    </w:p>
    <w:p>
      <w:pPr>
        <w:pStyle w:val="BodyText"/>
        <w:spacing w:lineRule="atLeast" w:line="240"/>
        <w:jc w:val="both"/>
        <w:rPr/>
      </w:pPr>
      <w:r>
        <w:rPr/>
        <w:t>Thanking you,</w:t>
      </w:r>
    </w:p>
    <w:p>
      <w:pPr>
        <w:pStyle w:val="BodyText"/>
        <w:spacing w:lineRule="atLeast" w:line="240"/>
        <w:jc w:val="both"/>
        <w:rPr/>
      </w:pPr>
      <w:r>
        <w:rPr/>
      </w:r>
    </w:p>
    <w:p>
      <w:pPr>
        <w:pStyle w:val="BodyText"/>
        <w:jc w:val="both"/>
        <w:rPr/>
      </w:pPr>
      <w:r>
        <w:rPr/>
        <w:t>Yours faithfully</w:t>
      </w:r>
    </w:p>
    <w:p>
      <w:pPr>
        <w:pStyle w:val="BodyText"/>
        <w:jc w:val="both"/>
        <w:rPr/>
      </w:pPr>
      <w:r>
        <w:rPr/>
        <w:t xml:space="preserve">For </w:t>
      </w:r>
      <w:r>
        <w:rPr>
          <w:b/>
        </w:rPr>
        <w:t>Enron India Pvt Ltd.,</w:t>
      </w:r>
      <w:r>
        <w:br w:type="page"/>
      </w:r>
    </w:p>
    <w:p>
      <w:pPr>
        <w:pStyle w:val="Normal"/>
        <w:rPr>
          <w:b/>
          <w:sz w:val="24"/>
        </w:rPr>
      </w:pPr>
      <w:r>
        <w:rPr>
          <w:b/>
          <w:sz w:val="24"/>
        </w:rPr>
      </w:r>
    </w:p>
    <w:p>
      <w:pPr>
        <w:pStyle w:val="BodyText"/>
        <w:numPr>
          <w:ilvl w:val="0"/>
          <w:numId w:val="2"/>
        </w:numPr>
        <w:spacing w:lineRule="atLeast" w:line="240"/>
        <w:jc w:val="both"/>
        <w:rPr/>
      </w:pPr>
      <w:r>
        <w:rPr>
          <w:i/>
          <w:u w:val="single"/>
        </w:rPr>
        <w:t>Introduction -- Full Regulation of Supply Companies  (Secs. 28(3) and 38(3)).</w:t>
      </w:r>
      <w:r>
        <w:rPr/>
        <w:t xml:space="preserve">  The creation of a competitive market structure has derailed in Draft VI of the Electricity Bill.  This is because the draft has inappropriately provided for full and complete regulation of Supply Companies.  Instead of evolving to full regulation of Supply Companies as it does in Draft VI, the Electricity Bill 2000 should be evolving toward the least regulated environment possible for them.  International experience indicates that it is the Supply Companies that will drive competition and be a true alternative supplier to end-users.  Without Supply Companies, the incumbents will never be driven to compete, particularly given the fact that there is no tradition of competition in the sector.  The Supply Companies force the Generation and Distribution Companies to compete by lowering prices and providing better quality customer service.  Since India has not had the benefit of Supply Companies before, it may be beneficial to discuss the activities of Supply Companies.</w:t>
      </w:r>
    </w:p>
    <w:p>
      <w:pPr>
        <w:pStyle w:val="BodyText"/>
        <w:spacing w:lineRule="atLeast" w:line="240"/>
        <w:jc w:val="both"/>
        <w:rPr>
          <w:i/>
          <w:i/>
          <w:u w:val="single"/>
        </w:rPr>
      </w:pPr>
      <w:r>
        <w:rPr>
          <w:i/>
          <w:u w:val="single"/>
        </w:rPr>
      </w:r>
    </w:p>
    <w:p>
      <w:pPr>
        <w:pStyle w:val="BodyText"/>
        <w:spacing w:lineRule="atLeast" w:line="240"/>
        <w:ind w:start="360" w:end="0"/>
        <w:jc w:val="both"/>
        <w:rPr/>
      </w:pPr>
      <w:r>
        <w:rPr/>
        <w:t xml:space="preserve">A Supply Company offers numerous benefits to a competitive market in that it: (i) represents an alternate supplier for customers, encouraging competition among multiple suppliers (other Supply Companies, Generators and Distribution Companies); (ii) enables large consumers to negotiate the terms of service they want so that consumers’ products are more competitive; (iii) maximizes efficient use of the infrastructure; and (iv) aggregates supply which facilitates economies of scale.  </w:t>
      </w:r>
    </w:p>
    <w:p>
      <w:pPr>
        <w:pStyle w:val="BodyText"/>
        <w:spacing w:lineRule="atLeast" w:line="240"/>
        <w:ind w:start="360" w:end="0"/>
        <w:jc w:val="both"/>
        <w:rPr/>
      </w:pPr>
      <w:r>
        <w:rPr/>
      </w:r>
    </w:p>
    <w:p>
      <w:pPr>
        <w:pStyle w:val="BodyText"/>
        <w:spacing w:lineRule="atLeast" w:line="240"/>
        <w:ind w:start="360" w:end="0"/>
        <w:jc w:val="both"/>
        <w:rPr/>
      </w:pPr>
      <w:r>
        <w:rPr/>
        <w:t xml:space="preserve">A regulator cannot and should not regulate a Supply Company in any restructured market.  The economic principle underlying regulation is that a regulator protects consumers from monopolies.  It follows that where there is no monopoly, there is no need for regulation.  There are only two types of monopolies: a natural monopoly and a legal monopoly.  A natural monopoly exists where (i) there is cost subadditivity, where the product is cheaper to produce in one firm than in many; and (ii) involves a large sunk cost.  Under this definition, it is difficult to deduce that a Supply Company is a natural monopoly since a Supply Company can exist without any physical assets other than its IT systems. (This is one reason that the implementing regulations for licensing must provide for a procedure that ensures the creditworthiness of a Supply Company.) The second type of monopoly is a legal monopoly, where exclusivity or priority is given to an entity by law.  This has not occurred in India, so the Supply Company can not be said to be a legal monopoly.  </w:t>
      </w:r>
    </w:p>
    <w:p>
      <w:pPr>
        <w:pStyle w:val="BodyText"/>
        <w:spacing w:lineRule="atLeast" w:line="240"/>
        <w:ind w:start="360" w:end="0"/>
        <w:jc w:val="both"/>
        <w:rPr/>
      </w:pPr>
      <w:r>
        <w:rPr/>
      </w:r>
    </w:p>
    <w:p>
      <w:pPr>
        <w:pStyle w:val="BodyText"/>
        <w:spacing w:lineRule="atLeast" w:line="240"/>
        <w:ind w:start="360" w:end="0"/>
        <w:jc w:val="both"/>
        <w:rPr/>
      </w:pPr>
      <w:r>
        <w:rPr/>
        <w:t>The idea that a Supply Company’s business can be regulated and its prices published is only possible if one thinks that a Supply Company’s function is similar to that of a Distribution Company</w:t>
      </w:r>
      <w:r>
        <w:rPr>
          <w:u w:val="single"/>
        </w:rPr>
        <w:t>.</w:t>
      </w:r>
      <w:r>
        <w:rPr/>
        <w:t xml:space="preserve">  However, a Supply Company provides services far beyond those of a Distribution Company.  A Supply Company’s price includes multiple considerations and may not include only the cost of supply.  Traditionally, a Supply Company provides services far beyond mere physical supply.  The price could include financial services, risk management financial products, prices indexed to other commodities, power off takers, global energy management and energy advisory services.  Thus, the final product offered to end-users is often far more than simply the sum of commodity + wheeling charges.   </w:t>
      </w:r>
    </w:p>
    <w:p>
      <w:pPr>
        <w:pStyle w:val="BodyText"/>
        <w:spacing w:lineRule="atLeast" w:line="240"/>
        <w:ind w:start="360" w:end="0"/>
        <w:jc w:val="both"/>
        <w:rPr/>
      </w:pPr>
      <w:r>
        <w:rPr/>
      </w:r>
    </w:p>
    <w:p>
      <w:pPr>
        <w:pStyle w:val="BodyText"/>
        <w:spacing w:lineRule="atLeast" w:line="240"/>
        <w:ind w:start="360" w:end="0"/>
        <w:jc w:val="both"/>
        <w:rPr/>
      </w:pPr>
      <w:r>
        <w:rPr/>
        <w:t xml:space="preserve">The commercial risk profiles of a Distribution Company and a Supply Company are completely different as well.  A Distribution Company’s customer has little choice as to services it receives: if the customer is dissatisfied with the Distribution Company’s service or product, often there is little or no alternative (in the absence of customer choice enabling them to choose Supply Companies or Generators as suppliers).  In contrast, the Supply Company is “chosen” by the end use customer; if dissatisfied with the service or product of the Supply Company, the customer can always return to the Distribution Company (typically, the “default supplier.”)  Another consideration is that a Distribution Company assumes no risk with regard to its supplies: the regulator ensures that the Distribution Company recovers its cost of supply, along with the cost of service.  A Supply Company, on the other hand, assumes all the risk of the business and has no guaranteed return whatsoever.  Additionally, a Supply Company is at a great disadvantage vis a vis a Distribution Company in that the Distribution Company is the incumbent and wields power over access to the wires, operation of its system, and typically, its traditional customers.  To add regulatory risk to the already-existing commercial risks would be insupportable and the specter of that would serve to discourage the formation of Supply Companies.  </w:t>
      </w:r>
    </w:p>
    <w:p>
      <w:pPr>
        <w:pStyle w:val="BodyText"/>
        <w:spacing w:lineRule="atLeast" w:line="240"/>
        <w:ind w:start="360" w:end="0"/>
        <w:jc w:val="both"/>
        <w:rPr/>
      </w:pPr>
      <w:r>
        <w:rPr/>
      </w:r>
    </w:p>
    <w:p>
      <w:pPr>
        <w:pStyle w:val="BodyText"/>
        <w:spacing w:lineRule="atLeast" w:line="240"/>
        <w:ind w:start="360" w:end="0"/>
        <w:jc w:val="both"/>
        <w:rPr/>
      </w:pPr>
      <w:r>
        <w:rPr>
          <w:i/>
        </w:rPr>
        <w:t xml:space="preserve">Duty of Supply Companies, Section 28(3).  </w:t>
      </w:r>
      <w:r>
        <w:rPr/>
        <w:t>The intention to regulate Supply Companies in the same manner as Distribution Companies is clear in Section 28(3), which provides that the provisions of Sections 33-35 will apply insofar as they relate to the supply of electricity to consumers.  Sections 33-35 provide that the regulator will set standards of specific and overall performance of Distribution Companies</w:t>
      </w:r>
      <w:r>
        <w:rPr>
          <w:i/>
        </w:rPr>
        <w:t xml:space="preserve"> </w:t>
      </w:r>
      <w:r>
        <w:rPr/>
        <w:t xml:space="preserve">and will require detailed reporting as to the same.  The difference between Distribution Companies and Supply Companies in this regard is that often a Distribution Company is either a default supplier or is the supplier of captive customers who have no choice as to suppliers.  It is the lack of choice of customers that results in the necessity to regulate both the performance and price of Distribution Companies.  However, there is no requirement that customers take the service of Supply Companies.  Since the Distribution Company will always be a default supplier, the end user can merely cease accepting the services of the Supply Company.  The difference that choice provides is key and is central to competitive markets and ensures the improvement of all round performance by the players in the sector.  From the Supply Company’s point of view, it is critical that it perform at or above the standards of a Distribution Company and at an appropriate, usually better, price: otherwise, there is little incentive for the end user to choose the services of the Supply Company and the Supply Company will not be able to stay in business. </w:t>
      </w:r>
    </w:p>
    <w:p>
      <w:pPr>
        <w:pStyle w:val="BodyText"/>
        <w:spacing w:lineRule="atLeast" w:line="240"/>
        <w:ind w:start="360" w:end="0"/>
        <w:jc w:val="both"/>
        <w:rPr/>
      </w:pPr>
      <w:r>
        <w:rPr/>
      </w:r>
    </w:p>
    <w:p>
      <w:pPr>
        <w:pStyle w:val="BodyText"/>
        <w:spacing w:lineRule="atLeast" w:line="240"/>
        <w:ind w:start="360" w:end="0"/>
        <w:jc w:val="both"/>
        <w:rPr/>
      </w:pPr>
      <w:r>
        <w:rPr>
          <w:i/>
        </w:rPr>
        <w:t xml:space="preserve">Regulation of Supply Company Prices (Section 38(3)).  </w:t>
      </w:r>
      <w:r>
        <w:rPr/>
        <w:t xml:space="preserve">The regulator under Section 38(3) can act in its discretion to regulate the prices of a Supply Company.  The phrase “if it deems appropriate” injects enough uncertainty into the market to exponentially increase the regulatory risk for a Supply Company to the point that entry into the market will be discouraged.  </w:t>
      </w:r>
    </w:p>
    <w:p>
      <w:pPr>
        <w:pStyle w:val="BodyText"/>
        <w:spacing w:lineRule="atLeast" w:line="240"/>
        <w:ind w:start="360" w:end="0"/>
        <w:jc w:val="both"/>
        <w:rPr>
          <w:i/>
          <w:i/>
        </w:rPr>
      </w:pPr>
      <w:r>
        <w:rPr>
          <w:i/>
        </w:rPr>
      </w:r>
    </w:p>
    <w:p>
      <w:pPr>
        <w:pStyle w:val="BodyText"/>
        <w:spacing w:lineRule="atLeast" w:line="240"/>
        <w:ind w:start="360" w:end="0"/>
        <w:jc w:val="both"/>
        <w:rPr/>
      </w:pPr>
      <w:r>
        <w:rPr/>
        <w:t xml:space="preserve">If a regulator can set the price of supply, what will be the basis of competition in the market?  Generators, Supply Companies and Distribution Companies </w:t>
      </w:r>
      <w:r>
        <w:rPr>
          <w:i/>
        </w:rPr>
        <w:t>must</w:t>
      </w:r>
      <w:r>
        <w:rPr/>
        <w:t xml:space="preserve"> be able to compete with each other for the business of end users without interference.  The way to attract the business of the end users is price.  Without this competitive tool, there will be no competition and thus no downward pressure on prices.  In the end, it will be the consumers who will pay the price of this provision, since there will be no legitimate Supply Companies formed to force the incumbent Generating and Distribution Companies to compete.  Regulators attempt to simulate competition in its absence; in the case of Supply Companies, there is no need to regulate – they are the essence of competition.</w:t>
      </w:r>
    </w:p>
    <w:p>
      <w:pPr>
        <w:pStyle w:val="BodyText"/>
        <w:spacing w:lineRule="atLeast" w:line="240"/>
        <w:ind w:start="360" w:end="0"/>
        <w:jc w:val="both"/>
        <w:rPr/>
      </w:pPr>
      <w:r>
        <w:rPr/>
      </w:r>
    </w:p>
    <w:p>
      <w:pPr>
        <w:pStyle w:val="BodyText"/>
        <w:spacing w:lineRule="atLeast" w:line="240"/>
        <w:ind w:start="360" w:end="0"/>
        <w:jc w:val="both"/>
        <w:rPr/>
      </w:pPr>
      <w:r>
        <w:rPr/>
        <w:t xml:space="preserve">Regulating the price of Supply Company power is completely antithetical to a competitive market and ensures that true competition will never be present in India.  If, however, this provision is deemed to be required, even though it serves to neutralize the benefits of competition and the entire point of the liberalisation process, then </w:t>
      </w:r>
      <w:r>
        <w:rPr>
          <w:i/>
        </w:rPr>
        <w:t>at a minimum</w:t>
      </w:r>
      <w:r>
        <w:rPr/>
        <w:t xml:space="preserve">, the right to regulate the prices should be for a very limited period of time.  That way, the market will be able to admit legitimate Supply Companies that understand how to compete at some point in time. </w:t>
      </w:r>
    </w:p>
    <w:p>
      <w:pPr>
        <w:pStyle w:val="BodyText"/>
        <w:spacing w:lineRule="atLeast" w:line="240"/>
        <w:ind w:start="360" w:end="0"/>
        <w:jc w:val="both"/>
        <w:rPr/>
      </w:pPr>
      <w:r>
        <w:rPr/>
      </w:r>
    </w:p>
    <w:p>
      <w:pPr>
        <w:pStyle w:val="BodyText"/>
        <w:spacing w:lineRule="atLeast" w:line="240"/>
        <w:ind w:start="360" w:end="0"/>
        <w:jc w:val="both"/>
        <w:rPr/>
      </w:pPr>
      <w:r>
        <w:rPr/>
        <w:t xml:space="preserve">A better course of action would be to phase in customer choice.  If the concern of the drafters of the Electricity Bill is the welfare of the smaller end users (residential and small commercial customers) then the appropriate solution is to </w:t>
      </w:r>
      <w:r>
        <w:rPr>
          <w:i/>
        </w:rPr>
        <w:t>phase in</w:t>
      </w:r>
      <w:r>
        <w:rPr/>
        <w:t xml:space="preserve"> customer choice over time, giving these customers time to understand the new environment.  However, with regard to industrials the same need to protect them from businesses competing to supply their power does not exist.  These companies are quite sophisticated and certainly have the business acumen to effectively negotiate with multiple suppliers of power to achieve a price and service most beneficial to their needs.  This open ended ability to regulate the business of Supply Companies has not been seen in other countries that have established competitive markets; what is common international practice is the phasing in of customer choice.  First, wholesale open access is permitted (allowing the sale of power to Distribution Companies and industrial customers), with retail open access consisting of sequential customer choice opportunities being granted to large commercial, smaller commercial and finally residential end users over a limited period of years (usually five years).  More regulation is rarely the solution in a competitive market; rather, providing a market mechanism (phasing in customer choice) that will accomplish the desired result is the preferred solution.  In addition, the phase-in process will send a far more appropriate message to the international community and potential investors in the sector.</w:t>
      </w:r>
    </w:p>
    <w:p>
      <w:pPr>
        <w:pStyle w:val="BodyText"/>
        <w:spacing w:lineRule="atLeast" w:line="240"/>
        <w:ind w:start="360" w:end="0"/>
        <w:jc w:val="both"/>
        <w:rPr/>
      </w:pPr>
      <w:r>
        <w:rPr/>
      </w:r>
    </w:p>
    <w:p>
      <w:pPr>
        <w:pStyle w:val="BodyText"/>
        <w:spacing w:lineRule="atLeast" w:line="240"/>
        <w:ind w:start="360" w:end="0"/>
        <w:jc w:val="both"/>
        <w:rPr/>
      </w:pPr>
      <w:r>
        <w:rPr/>
        <w:t>The Electricity Bill 2000 is seriously flawed in Draft VI as illustrated above.  The provisions discussed in this first section of comments not only contradict themselves (Supply Companies are differentiated from Distribution Companies and then regulated in the same manner; Supply Company sales prices are deregulated and then re-regulated in the same section), but ensure that India will not see a competitive market in power.</w:t>
      </w:r>
    </w:p>
    <w:p>
      <w:pPr>
        <w:pStyle w:val="BodyText"/>
        <w:spacing w:lineRule="atLeast" w:line="240"/>
        <w:ind w:start="1080" w:end="0"/>
        <w:jc w:val="both"/>
        <w:rPr>
          <w:i/>
          <w:i/>
        </w:rPr>
      </w:pPr>
      <w:r>
        <w:rPr>
          <w:i/>
        </w:rPr>
      </w:r>
    </w:p>
    <w:p>
      <w:pPr>
        <w:pStyle w:val="BodyText"/>
        <w:numPr>
          <w:ilvl w:val="0"/>
          <w:numId w:val="2"/>
        </w:numPr>
        <w:spacing w:lineRule="atLeast" w:line="240"/>
        <w:jc w:val="both"/>
        <w:rPr/>
      </w:pPr>
      <w:r>
        <w:rPr>
          <w:i/>
        </w:rPr>
        <w:t xml:space="preserve">Freedom of Transmission and Supply (Sec. 32(2) and 32(3)(b)).  </w:t>
      </w:r>
      <w:r>
        <w:rPr/>
        <w:t xml:space="preserve">The bottom line effect of the indicated provisions is they will discourage potential investors in the sector and their financing entities from investing in the sector.  Section 32(2) essentially permits the Central Government to divert power to regions that are scarce in power as it sees fit.  Similarly, Section 32(3)(b) gives the State Legislatures the broad ability to impose restrictions on the freedom of supply and transmission as may be required in the public interest. The provision injects politics into the marketplace, provides for abrogation of contracts, enables interference in the market, and allows for political manipulation of the market by way of preferences under the guise of “public interest.”  In addition, both provisions work to counter the competitive market structure that has been painstakingly constructed in prior versions of the Draft Electricity Bill. </w:t>
      </w:r>
    </w:p>
    <w:p>
      <w:pPr>
        <w:pStyle w:val="Normal"/>
        <w:rPr>
          <w:sz w:val="24"/>
        </w:rPr>
      </w:pPr>
      <w:r>
        <w:rPr>
          <w:sz w:val="24"/>
        </w:rPr>
      </w:r>
    </w:p>
    <w:p>
      <w:pPr>
        <w:pStyle w:val="Normal"/>
        <w:ind w:start="360" w:end="0"/>
        <w:rPr/>
      </w:pPr>
      <w:r>
        <w:rPr>
          <w:sz w:val="24"/>
        </w:rPr>
        <w:t xml:space="preserve">To ameliorate the effects of these provisions if they are deemed to be indispensable, perhaps a qualification of the power could be inserted to provide that the Central Government and State Legislatures could divert power in the public interest and </w:t>
      </w:r>
      <w:r>
        <w:rPr>
          <w:i/>
          <w:sz w:val="24"/>
        </w:rPr>
        <w:t>under extraordinary circumstances</w:t>
      </w:r>
      <w:r>
        <w:rPr>
          <w:sz w:val="24"/>
        </w:rPr>
        <w:t xml:space="preserve">.  This provision would at least curb the wide-ranging ability of the governments to disturb the workings of a competitive market.  The definition of extraordinary circumstances in Section 38(4) would be acceptable.  </w:t>
      </w:r>
    </w:p>
    <w:p>
      <w:pPr>
        <w:pStyle w:val="Normal"/>
        <w:rPr>
          <w:sz w:val="24"/>
        </w:rPr>
      </w:pPr>
      <w:r>
        <w:rPr>
          <w:sz w:val="24"/>
        </w:rPr>
      </w:r>
    </w:p>
    <w:p>
      <w:pPr>
        <w:pStyle w:val="Normal"/>
        <w:numPr>
          <w:ilvl w:val="0"/>
          <w:numId w:val="2"/>
        </w:numPr>
        <w:rPr>
          <w:sz w:val="24"/>
        </w:rPr>
      </w:pPr>
      <w:r>
        <w:rPr>
          <w:i/>
          <w:sz w:val="24"/>
        </w:rPr>
        <w:t xml:space="preserve">Capping Electricity Price (Section 38(4)).  </w:t>
      </w:r>
      <w:r>
        <w:rPr>
          <w:sz w:val="24"/>
        </w:rPr>
        <w:t>The provision gives the Commission the ability to determine a tariff cap in the event of extraordinary circumstances causing a shortfall in the supply of electricity or an undue increase in its price.  Of course, in a true market, it is preferable to have no interference with market prices.  However, the inclusion of the requirement of “extraordinary circumstances” and the definition thereof ensures that this provision will be invoked in only the most limited of exigent circumstances.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sz w:val="24"/>
      <w:u w:val="single"/>
    </w:rPr>
  </w:style>
  <w:style w:type="character" w:styleId="WW8Num4z0">
    <w:name w:val="WW8Num4z0"/>
    <w:qFormat/>
    <w:rPr>
      <w:sz w:val="24"/>
    </w:rPr>
  </w:style>
  <w:style w:type="character" w:styleId="WW8Num5z0">
    <w:name w:val="WW8Num5z0"/>
    <w:qFormat/>
    <w:rPr>
      <w:i/>
    </w:rPr>
  </w:style>
  <w:style w:type="character" w:styleId="WW8Num7z0">
    <w:name w:val="WW8Num7z0"/>
    <w:qFormat/>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2000-07-17T20:11:00Z</dcterms:created>
  <dc:creator>Enron Technology</dc:creator>
  <dc:description/>
  <dc:language>en-CA</dc:language>
  <cp:lastModifiedBy>Enron Technology</cp:lastModifiedBy>
  <dcterms:modified xsi:type="dcterms:W3CDTF">2000-07-18T00:13:00Z</dcterms:modified>
  <cp:revision>7</cp:revision>
  <dc:subject/>
  <dc:title>1</dc:title>
</cp:coreProperties>
</file>