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48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4140"/>
        <w:gridCol w:w="3060"/>
        <w:gridCol w:w="2700"/>
        <w:gridCol w:w="2340"/>
      </w:tblGrid>
      <w:tr>
        <w:trPr/>
        <w:tc>
          <w:tcPr>
            <w:tcW w:w="280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 xml:space="preserve">EAS CAD FX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28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Risk: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Review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Results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Follow-up Project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Details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ind w:hanging="360" w:start="360" w:end="0"/>
              <w:rPr/>
            </w:pPr>
            <w:r>
              <w:rPr/>
              <w:t xml:space="preserve">Losing value due to foreign currency exposure in EA’s Canadian operations. 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Quantified the foreign currency exposure in the market value of EA’s Canadian Operations.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>Currently reviewing f/x strategy.  Mtgs scheduled with W. Colwell, S. Douglas, J. Deffner &amp; B. Butts, to discuss issues &amp; next steps.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>N/A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>Documented in Canadian Foreign Exchange Presentation.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ind w:hanging="360" w:start="360" w:end="0"/>
              <w:rPr/>
            </w:pPr>
            <w:r>
              <w:rPr/>
              <w:t xml:space="preserve">Losing value due to the implementation of an inappropriate hedging strategy. 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>Reviewed amount and timing of EWS CAD cash flow to determine existence of natural hedges.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Reviewed implications of currency of determination on foreign exchange exposure.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>Natural hedges do exist at the EWS level; however, the amount is relatively small.  Natural hedges will be considered as part of EWS CAD f/x hedging strategy.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 xml:space="preserve">The currency of determination significantly decreases foreign currency exposure. 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>N/A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>Documented in Canadian Foreign Exchange Presentation.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ind w:hanging="360" w:start="360" w:end="0"/>
              <w:rPr/>
            </w:pPr>
            <w:r>
              <w:rPr/>
              <w:t>Non-Compliance with Hedging Strategy</w:t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left" w:pos="360" w:leader="none"/>
              </w:tabs>
              <w:ind w:hanging="720" w:start="180" w:end="0"/>
              <w:rPr/>
            </w:pPr>
            <w:r>
              <w:rPr/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Conducted high-level review of compliance with hedging strategy.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" w:leader="none"/>
              </w:tabs>
              <w:ind w:hanging="306" w:start="306" w:end="0"/>
              <w:rPr/>
            </w:pPr>
            <w:r>
              <w:rPr/>
              <w:t xml:space="preserve">Compliance could not be confirmed within scope/ timing of current f/x EAS initiative (or recent Doorstep visit). 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 xml:space="preserve">Thorough review of hedging activity by commercial &amp; accounting personnel should be performed.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>N/A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ind w:hanging="360" w:start="360" w:end="0"/>
              <w:rPr/>
            </w:pPr>
            <w:r>
              <w:rPr/>
              <w:t>Processes not capturing information accurately to support hedging Strategy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Conducted high-level review of information systems relating to f/x hedging.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 xml:space="preserve">Some issues were reported which prohibit  implementation of an  effective hedging strategy (e.g. AP &amp; AR are not considered for hedging). 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 xml:space="preserve">Thorough review of information system requirements by commercial &amp; accounting personnel should be performed.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 xml:space="preserve">N/A – issues also documented in Calgary Doorstep report. </w:t>
            </w:r>
          </w:p>
        </w:tc>
      </w:tr>
      <w:tr>
        <w:trPr/>
        <w:tc>
          <w:tcPr>
            <w:tcW w:w="2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>Financial accounting processes not accurately reporting hedging strategy.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Conducted high-level review of accounting processes relating to f/x reporting.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06" w:leader="none"/>
              </w:tabs>
              <w:ind w:hanging="306" w:start="306" w:end="0"/>
              <w:rPr/>
            </w:pPr>
            <w:r>
              <w:rPr/>
              <w:t xml:space="preserve">Reviewed operations to determine appropriate functional currency for financial reporting purposes.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 xml:space="preserve">Some issues were reported which could materially misstate reported results (e.g. Can. income tax  accts. are in USD).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/>
              <w:t xml:space="preserve">Current functional currency designation is correct. 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 xml:space="preserve">EAS will conduct an in-depth review of translation process.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98" w:leader="none"/>
              </w:tabs>
              <w:ind w:hanging="180" w:start="198" w:end="0"/>
              <w:rPr/>
            </w:pPr>
            <w:r>
              <w:rPr/>
              <w:t xml:space="preserve">Functional currency review documented in “Canadian Functional Currency Review” memo to W. Colwell.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5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u w:val="single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2001-04-18T17:05:00Z</dcterms:created>
  <dc:creator>Ken Lewchuk</dc:creator>
  <dc:description/>
  <dc:language>en-CA</dc:language>
  <cp:lastModifiedBy>matwood</cp:lastModifiedBy>
  <cp:lastPrinted>2001-04-18T15:26:00Z</cp:lastPrinted>
  <dcterms:modified xsi:type="dcterms:W3CDTF">2001-04-18T18:08:00Z</dcterms:modified>
  <cp:revision>3</cp:revision>
  <dc:subject/>
  <dc:title>Risk </dc:title>
</cp:coreProperties>
</file>