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  <w:t>Current Service to Customer: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Pipelines require a 30 – 38% markup for income taxes on Contributions in Aid of Construction (CAC)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NNG requires a 30% overhead markup; TW – 15%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Proposal for Interconnect Services: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EAMR would enter into a three-way agreement with the Pipeline(P/L) and the customer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EAMR would provide EPC (engineering, procurement and construction) and operation of facilities in whatever combination was agreeable to by both P/L and the customer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The customer would pay EAMR to construct the tap and valve for P/L and to P/L’s specifications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170"/>
        <w:gridCol w:w="1620"/>
        <w:gridCol w:w="1890"/>
        <w:gridCol w:w="288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Portion of Interconnect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Operator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Who pays What?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Costs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Tap and Valve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P/L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P/L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(Could EAMR operate?)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Customer pays EAMR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No CAC required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Any P/L overhead required?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EAMR services pricing includes a margin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Customer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EAMR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Customer pays EAMR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EAMR services pricing includes a margin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Appurtenant Facilities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Customer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EAMR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Customer pays EAMR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EAMR services pricing includes a margin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Laterals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Customer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EAMR (if customer desires)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Customer pays EAMR (or other party)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EAMR services pricing includes a margin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Benefits: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Lower cost to customer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Design and construction to Enron Standards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Revenue flows through non-regulated entity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Additional alternatives for further services: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EAMR could lease the measurement and appurtenant facilities to the customer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DATE \@"MM\/dd\/yy" </w:instrText>
    </w:r>
    <w:r>
      <w:rPr>
        <w:rStyle w:val="PageNumber"/>
      </w:rPr>
      <w:fldChar w:fldCharType="separate"/>
    </w:r>
    <w:r>
      <w:rPr>
        <w:rStyle w:val="PageNumber"/>
      </w:rPr>
      <w:t>09/28/25</w:t>
    </w:r>
    <w:r>
      <w:rPr>
        <w:rStyle w:val="PageNumber"/>
      </w:rPr>
      <w:fldChar w:fldCharType="end"/>
    </w:r>
    <w:r>
      <w:rPr>
        <w:rStyle w:val="PageNumber"/>
      </w:rPr>
      <w:t xml:space="preserve">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  <w:t>EAMR Interconnect and Measurement Services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2001-02-27T15:05:00Z</dcterms:created>
  <dc:creator>ssmith3</dc:creator>
  <dc:description/>
  <dc:language>en-CA</dc:language>
  <cp:lastModifiedBy>ssmith3</cp:lastModifiedBy>
  <cp:lastPrinted>2001-02-27T14:22:00Z</cp:lastPrinted>
  <dcterms:modified xsi:type="dcterms:W3CDTF">2001-02-27T17:53:00Z</dcterms:modified>
  <cp:revision>7</cp:revision>
  <dc:subject/>
  <dc:title>EAMR Interconnect Services</dc:title>
</cp:coreProperties>
</file>