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sz w:val="22"/>
        </w:rPr>
      </w:pPr>
      <w:r>
        <w:rPr>
          <w:rFonts w:cs="Arial" w:ascii="Arial" w:hAnsi="Arial"/>
          <w:b/>
          <w:sz w:val="22"/>
        </w:rPr>
        <w:t>ESBI Alberta Ltd.</w:t>
      </w:r>
    </w:p>
    <w:p>
      <w:pPr>
        <w:pStyle w:val="Normal"/>
        <w:numPr>
          <w:ilvl w:val="0"/>
          <w:numId w:val="0"/>
        </w:numPr>
        <w:jc w:val="center"/>
        <w:outlineLvl w:val="0"/>
        <w:rPr>
          <w:rFonts w:ascii="Arial" w:hAnsi="Arial" w:cs="Arial"/>
          <w:b/>
          <w:sz w:val="22"/>
        </w:rPr>
      </w:pPr>
      <w:r>
        <w:rPr>
          <w:rFonts w:cs="Arial" w:ascii="Arial" w:hAnsi="Arial"/>
          <w:b/>
          <w:sz w:val="22"/>
        </w:rPr>
        <w:t>Estimated Deferral Account Summary</w:t>
      </w:r>
    </w:p>
    <w:p>
      <w:pPr>
        <w:pStyle w:val="Normal"/>
        <w:numPr>
          <w:ilvl w:val="0"/>
          <w:numId w:val="0"/>
        </w:numPr>
        <w:jc w:val="center"/>
        <w:outlineLvl w:val="0"/>
        <w:rPr>
          <w:rFonts w:ascii="Arial" w:hAnsi="Arial" w:cs="Arial"/>
          <w:b/>
          <w:sz w:val="22"/>
        </w:rPr>
      </w:pPr>
      <w:r>
        <w:rPr>
          <w:rFonts w:cs="Arial" w:ascii="Arial" w:hAnsi="Arial"/>
          <w:b/>
          <w:sz w:val="22"/>
        </w:rPr>
        <w:t>As December 2001</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This document provides a summary of the current status of ESBI Alberta Ltd.’s deferral accounts for the 12 months ended December 2001.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ESBI’s  deferral balance as at the end of December is summarized as follows:</w:t>
      </w:r>
    </w:p>
    <w:p>
      <w:pPr>
        <w:pStyle w:val="Normal"/>
        <w:rPr>
          <w:rFonts w:ascii="Arial" w:hAnsi="Arial" w:cs="Arial"/>
          <w:sz w:val="22"/>
        </w:rPr>
      </w:pPr>
      <w:r>
        <w:rPr>
          <w:rFonts w:cs="Arial" w:ascii="Arial" w:hAnsi="Arial"/>
          <w:sz w:val="22"/>
        </w:rPr>
      </w:r>
    </w:p>
    <w:tbl>
      <w:tblPr>
        <w:tblW w:w="11300" w:type="dxa"/>
        <w:jc w:val="start"/>
        <w:tblInd w:w="-600" w:type="dxa"/>
        <w:tblLayout w:type="fixed"/>
        <w:tblCellMar>
          <w:top w:w="0" w:type="dxa"/>
          <w:start w:w="30" w:type="dxa"/>
          <w:bottom w:w="0" w:type="dxa"/>
          <w:end w:w="30" w:type="dxa"/>
        </w:tblCellMar>
      </w:tblPr>
      <w:tblGrid>
        <w:gridCol w:w="360"/>
        <w:gridCol w:w="3060"/>
        <w:gridCol w:w="60"/>
        <w:gridCol w:w="30"/>
        <w:gridCol w:w="210"/>
        <w:gridCol w:w="2010"/>
        <w:gridCol w:w="240"/>
        <w:gridCol w:w="1830"/>
        <w:gridCol w:w="30"/>
        <w:gridCol w:w="90"/>
        <w:gridCol w:w="40"/>
        <w:gridCol w:w="80"/>
        <w:gridCol w:w="3"/>
        <w:gridCol w:w="2007"/>
        <w:gridCol w:w="240"/>
        <w:gridCol w:w="770"/>
        <w:gridCol w:w="240"/>
      </w:tblGrid>
      <w:tr>
        <w:trPr>
          <w:trHeight w:val="247" w:hRule="atLeast"/>
        </w:trPr>
        <w:tc>
          <w:tcPr>
            <w:tcW w:w="3720" w:type="dxa"/>
            <w:gridSpan w:val="5"/>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2250" w:type="dxa"/>
            <w:gridSpan w:val="2"/>
            <w:tcBorders/>
          </w:tcPr>
          <w:p>
            <w:pPr>
              <w:pStyle w:val="Normal"/>
              <w:jc w:val="center"/>
              <w:rPr>
                <w:rFonts w:ascii="Arial" w:hAnsi="Arial" w:cs="Arial"/>
                <w:b/>
                <w:i/>
                <w:i/>
                <w:color w:val="000000"/>
                <w:lang w:eastAsia="en-US"/>
              </w:rPr>
            </w:pPr>
            <w:r>
              <w:rPr>
                <w:rFonts w:eastAsia="Arial" w:cs="Arial" w:ascii="Arial" w:hAnsi="Arial"/>
                <w:b/>
                <w:i/>
                <w:color w:val="000000"/>
                <w:lang w:eastAsia="en-US"/>
              </w:rPr>
              <w:t xml:space="preserve"> </w:t>
            </w:r>
            <w:r>
              <w:rPr>
                <w:rFonts w:cs="Arial" w:ascii="Arial" w:hAnsi="Arial"/>
                <w:b/>
                <w:i/>
                <w:color w:val="000000"/>
                <w:lang w:eastAsia="en-US"/>
              </w:rPr>
              <w:t xml:space="preserve">Revenue Collected  </w:t>
            </w:r>
          </w:p>
        </w:tc>
        <w:tc>
          <w:tcPr>
            <w:tcW w:w="2070" w:type="dxa"/>
            <w:gridSpan w:val="5"/>
            <w:tcBorders/>
          </w:tcPr>
          <w:p>
            <w:pPr>
              <w:pStyle w:val="Normal"/>
              <w:jc w:val="center"/>
              <w:rPr>
                <w:rFonts w:ascii="Arial" w:hAnsi="Arial" w:cs="Arial"/>
                <w:b/>
                <w:i/>
                <w:i/>
                <w:color w:val="000000"/>
                <w:lang w:eastAsia="en-US"/>
              </w:rPr>
            </w:pPr>
            <w:r>
              <w:rPr>
                <w:rFonts w:eastAsia="Arial" w:cs="Arial" w:ascii="Arial" w:hAnsi="Arial"/>
                <w:b/>
                <w:i/>
                <w:color w:val="000000"/>
                <w:lang w:eastAsia="en-US"/>
              </w:rPr>
              <w:t xml:space="preserve"> </w:t>
            </w:r>
            <w:r>
              <w:rPr>
                <w:rFonts w:cs="Arial" w:ascii="Arial" w:hAnsi="Arial"/>
                <w:b/>
                <w:i/>
                <w:color w:val="000000"/>
                <w:lang w:eastAsia="en-US"/>
              </w:rPr>
              <w:t xml:space="preserve">Costs Incurred </w:t>
            </w:r>
          </w:p>
        </w:tc>
        <w:tc>
          <w:tcPr>
            <w:tcW w:w="2250" w:type="dxa"/>
            <w:gridSpan w:val="3"/>
            <w:tcBorders/>
          </w:tcPr>
          <w:p>
            <w:pPr>
              <w:pStyle w:val="Normal"/>
              <w:jc w:val="center"/>
              <w:rPr>
                <w:rFonts w:ascii="Arial" w:hAnsi="Arial" w:cs="Arial"/>
                <w:b/>
                <w:i/>
                <w:i/>
                <w:color w:val="000000"/>
                <w:lang w:eastAsia="en-US"/>
              </w:rPr>
            </w:pPr>
            <w:r>
              <w:rPr>
                <w:rFonts w:eastAsia="Arial" w:cs="Arial" w:ascii="Arial" w:hAnsi="Arial"/>
                <w:b/>
                <w:i/>
                <w:color w:val="000000"/>
                <w:lang w:eastAsia="en-US"/>
              </w:rPr>
              <w:t xml:space="preserve"> </w:t>
            </w:r>
            <w:r>
              <w:rPr>
                <w:rFonts w:cs="Arial" w:ascii="Arial" w:hAnsi="Arial"/>
                <w:b/>
                <w:i/>
                <w:color w:val="000000"/>
                <w:lang w:eastAsia="en-US"/>
              </w:rPr>
              <w:t xml:space="preserve">Variance </w:t>
            </w:r>
          </w:p>
        </w:tc>
        <w:tc>
          <w:tcPr>
            <w:tcW w:w="1010" w:type="dxa"/>
            <w:gridSpan w:val="2"/>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r>
      <w:tr>
        <w:trPr>
          <w:trHeight w:val="247" w:hRule="atLeast"/>
        </w:trPr>
        <w:tc>
          <w:tcPr>
            <w:tcW w:w="3720" w:type="dxa"/>
            <w:gridSpan w:val="5"/>
            <w:tcBorders/>
          </w:tcPr>
          <w:p>
            <w:pPr>
              <w:pStyle w:val="Normal"/>
              <w:snapToGrid w:val="false"/>
              <w:jc w:val="end"/>
              <w:rPr>
                <w:rFonts w:ascii="Arial" w:hAnsi="Arial" w:cs="Arial"/>
                <w:b/>
                <w:i/>
                <w:i/>
                <w:color w:val="000000"/>
                <w:lang w:eastAsia="en-US"/>
              </w:rPr>
            </w:pPr>
            <w:r>
              <w:rPr>
                <w:rFonts w:cs="Arial" w:ascii="Arial" w:hAnsi="Arial"/>
                <w:b/>
                <w:i/>
                <w:color w:val="000000"/>
                <w:lang w:eastAsia="en-US"/>
              </w:rPr>
            </w:r>
          </w:p>
        </w:tc>
        <w:tc>
          <w:tcPr>
            <w:tcW w:w="2250" w:type="dxa"/>
            <w:gridSpan w:val="2"/>
            <w:tcBorders/>
          </w:tcPr>
          <w:p>
            <w:pPr>
              <w:pStyle w:val="Normal"/>
              <w:jc w:val="center"/>
              <w:rPr>
                <w:rFonts w:ascii="Arial" w:hAnsi="Arial" w:cs="Arial"/>
                <w:b/>
                <w:i/>
                <w:i/>
                <w:color w:val="000000"/>
                <w:lang w:eastAsia="en-US"/>
              </w:rPr>
            </w:pPr>
            <w:r>
              <w:rPr>
                <w:rFonts w:eastAsia="Arial" w:cs="Arial" w:ascii="Arial" w:hAnsi="Arial"/>
                <w:b/>
                <w:i/>
                <w:color w:val="000000"/>
                <w:lang w:eastAsia="en-US"/>
              </w:rPr>
              <w:t xml:space="preserve"> </w:t>
            </w:r>
            <w:r>
              <w:rPr>
                <w:rFonts w:cs="Arial" w:ascii="Arial" w:hAnsi="Arial"/>
                <w:b/>
                <w:i/>
                <w:color w:val="000000"/>
                <w:lang w:eastAsia="en-US"/>
              </w:rPr>
              <w:t xml:space="preserve">Through Tariff </w:t>
            </w:r>
          </w:p>
        </w:tc>
        <w:tc>
          <w:tcPr>
            <w:tcW w:w="2070" w:type="dxa"/>
            <w:gridSpan w:val="5"/>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2250" w:type="dxa"/>
            <w:gridSpan w:val="3"/>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1010" w:type="dxa"/>
            <w:gridSpan w:val="2"/>
            <w:tcBorders/>
          </w:tcPr>
          <w:p>
            <w:pPr>
              <w:pStyle w:val="Normal"/>
              <w:snapToGrid w:val="false"/>
              <w:jc w:val="end"/>
              <w:rPr>
                <w:rFonts w:ascii="Arial" w:hAnsi="Arial" w:cs="Arial"/>
                <w:b/>
                <w:i/>
                <w:i/>
                <w:color w:val="000000"/>
                <w:lang w:eastAsia="en-US"/>
              </w:rPr>
            </w:pPr>
            <w:r>
              <w:rPr>
                <w:rFonts w:cs="Arial" w:ascii="Arial" w:hAnsi="Arial"/>
                <w:b/>
                <w:i/>
                <w:color w:val="000000"/>
                <w:lang w:eastAsia="en-US"/>
              </w:rPr>
            </w:r>
          </w:p>
        </w:tc>
      </w:tr>
      <w:tr>
        <w:trPr>
          <w:trHeight w:val="247" w:hRule="atLeast"/>
        </w:trPr>
        <w:tc>
          <w:tcPr>
            <w:tcW w:w="3720" w:type="dxa"/>
            <w:gridSpan w:val="5"/>
            <w:tcBorders/>
          </w:tcPr>
          <w:p>
            <w:pPr>
              <w:pStyle w:val="Normal"/>
              <w:jc w:val="end"/>
              <w:rPr>
                <w:rFonts w:ascii="Arial" w:hAnsi="Arial" w:cs="Arial"/>
                <w:i/>
                <w:i/>
                <w:color w:val="000000"/>
                <w:sz w:val="16"/>
                <w:lang w:eastAsia="en-US"/>
              </w:rPr>
            </w:pPr>
            <w:r>
              <w:rPr>
                <w:rFonts w:eastAsia="Arial" w:cs="Arial" w:ascii="Arial" w:hAnsi="Arial"/>
                <w:i/>
                <w:color w:val="000000"/>
                <w:sz w:val="16"/>
                <w:lang w:eastAsia="en-US"/>
              </w:rPr>
              <w:t xml:space="preserve"> </w:t>
            </w:r>
            <w:r>
              <w:rPr>
                <w:rFonts w:cs="Arial" w:ascii="Arial" w:hAnsi="Arial"/>
                <w:i/>
                <w:color w:val="000000"/>
                <w:sz w:val="16"/>
                <w:lang w:eastAsia="en-US"/>
              </w:rPr>
              <w:t xml:space="preserve">($ millions) </w:t>
            </w:r>
          </w:p>
        </w:tc>
        <w:tc>
          <w:tcPr>
            <w:tcW w:w="2250" w:type="dxa"/>
            <w:gridSpan w:val="2"/>
            <w:tcBorders/>
          </w:tcPr>
          <w:p>
            <w:pPr>
              <w:pStyle w:val="Normal"/>
              <w:snapToGrid w:val="false"/>
              <w:jc w:val="end"/>
              <w:rPr>
                <w:rFonts w:ascii="Arial" w:hAnsi="Arial" w:cs="Arial"/>
                <w:i/>
                <w:i/>
                <w:color w:val="000000"/>
                <w:sz w:val="16"/>
                <w:lang w:eastAsia="en-US"/>
              </w:rPr>
            </w:pPr>
            <w:r>
              <w:rPr>
                <w:rFonts w:cs="Arial" w:ascii="Arial" w:hAnsi="Arial"/>
                <w:i/>
                <w:color w:val="000000"/>
                <w:sz w:val="16"/>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60" w:type="dxa"/>
            <w:tcBorders/>
            <w:tcMar>
              <w:start w:w="0" w:type="dxa"/>
              <w:end w:w="0" w:type="dxa"/>
            </w:tcMar>
          </w:tcPr>
          <w:p>
            <w:pPr>
              <w:pStyle w:val="Normal"/>
              <w:rPr>
                <w:rFonts w:ascii="Arial" w:hAnsi="Arial" w:cs="Arial"/>
                <w:color w:val="000000"/>
                <w:lang w:eastAsia="en-US"/>
              </w:rPr>
            </w:pPr>
            <w:r>
              <w:rPr>
                <w:rFonts w:cs="Arial" w:ascii="Arial" w:hAnsi="Arial"/>
                <w:color w:val="000000"/>
                <w:lang w:eastAsia="en-US"/>
              </w:rPr>
            </w:r>
          </w:p>
        </w:tc>
        <w:tc>
          <w:tcPr>
            <w:tcW w:w="3120" w:type="dxa"/>
            <w:gridSpan w:val="2"/>
            <w:tcBorders/>
          </w:tcPr>
          <w:p>
            <w:pPr>
              <w:pStyle w:val="Normal"/>
              <w:snapToGrid w:val="false"/>
              <w:jc w:val="end"/>
              <w:rPr>
                <w:rFonts w:ascii="Arial" w:hAnsi="Arial" w:cs="Arial"/>
                <w:i/>
                <w:i/>
                <w:color w:val="000000"/>
                <w:sz w:val="16"/>
                <w:lang w:eastAsia="en-US"/>
              </w:rPr>
            </w:pPr>
            <w:r>
              <w:rPr>
                <w:rFonts w:cs="Arial" w:ascii="Arial" w:hAnsi="Arial"/>
                <w:i/>
                <w:color w:val="000000"/>
                <w:sz w:val="16"/>
                <w:lang w:eastAsia="en-US"/>
              </w:rPr>
            </w:r>
          </w:p>
        </w:tc>
        <w:tc>
          <w:tcPr>
            <w:tcW w:w="2250" w:type="dxa"/>
            <w:gridSpan w:val="3"/>
            <w:tcBorders/>
          </w:tcPr>
          <w:p>
            <w:pPr>
              <w:pStyle w:val="Normal"/>
              <w:snapToGrid w:val="false"/>
              <w:jc w:val="end"/>
              <w:rPr>
                <w:rFonts w:ascii="Arial" w:hAnsi="Arial" w:cs="Arial"/>
                <w:i/>
                <w:i/>
                <w:color w:val="000000"/>
                <w:sz w:val="16"/>
                <w:lang w:eastAsia="en-US"/>
              </w:rPr>
            </w:pPr>
            <w:r>
              <w:rPr>
                <w:rFonts w:cs="Arial" w:ascii="Arial" w:hAnsi="Arial"/>
                <w:i/>
                <w:color w:val="000000"/>
                <w:sz w:val="16"/>
                <w:lang w:eastAsia="en-US"/>
              </w:rPr>
            </w:r>
          </w:p>
        </w:tc>
        <w:tc>
          <w:tcPr>
            <w:tcW w:w="207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6"/>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3" w:hRule="atLeast"/>
        </w:trPr>
        <w:tc>
          <w:tcPr>
            <w:tcW w:w="3510" w:type="dxa"/>
            <w:gridSpan w:val="4"/>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Interconnection charge</w:t>
            </w:r>
          </w:p>
        </w:tc>
        <w:tc>
          <w:tcPr>
            <w:tcW w:w="2460" w:type="dxa"/>
            <w:gridSpan w:val="3"/>
            <w:tcBorders/>
          </w:tcPr>
          <w:p>
            <w:pPr>
              <w:pStyle w:val="Normal"/>
              <w:jc w:val="end"/>
              <w:rPr>
                <w:rFonts w:ascii="Arial" w:hAnsi="Arial" w:cs="Arial"/>
                <w:color w:val="000000"/>
                <w:lang w:eastAsia="en-US"/>
              </w:rPr>
            </w:pPr>
            <w:r>
              <w:rPr>
                <w:rFonts w:cs="Arial" w:ascii="Arial" w:hAnsi="Arial"/>
                <w:color w:val="000000"/>
                <w:lang w:eastAsia="en-US"/>
              </w:rPr>
              <w:t>395.0</w:t>
            </w:r>
          </w:p>
        </w:tc>
        <w:tc>
          <w:tcPr>
            <w:tcW w:w="2070" w:type="dxa"/>
            <w:gridSpan w:val="5"/>
            <w:tcBorders/>
          </w:tcPr>
          <w:p>
            <w:pPr>
              <w:pStyle w:val="Normal"/>
              <w:jc w:val="end"/>
              <w:rPr>
                <w:rFonts w:ascii="Arial" w:hAnsi="Arial" w:cs="Arial"/>
                <w:color w:val="000000"/>
                <w:lang w:eastAsia="en-US"/>
              </w:rPr>
            </w:pPr>
            <w:r>
              <w:rPr>
                <w:rFonts w:cs="Arial" w:ascii="Arial" w:hAnsi="Arial"/>
                <w:color w:val="000000"/>
                <w:lang w:eastAsia="en-US"/>
              </w:rPr>
              <w:t>388.8</w:t>
            </w:r>
          </w:p>
        </w:tc>
        <w:tc>
          <w:tcPr>
            <w:tcW w:w="2250" w:type="dxa"/>
            <w:gridSpan w:val="3"/>
            <w:tcBorders/>
          </w:tcPr>
          <w:p>
            <w:pPr>
              <w:pStyle w:val="Normal"/>
              <w:jc w:val="end"/>
              <w:rPr>
                <w:rFonts w:ascii="Arial" w:hAnsi="Arial" w:cs="Arial"/>
                <w:color w:val="000000"/>
                <w:lang w:eastAsia="en-US"/>
              </w:rPr>
            </w:pPr>
            <w:r>
              <w:rPr>
                <w:rFonts w:cs="Arial" w:ascii="Arial" w:hAnsi="Arial"/>
                <w:color w:val="000000"/>
                <w:lang w:eastAsia="en-US"/>
              </w:rPr>
              <w:t>6.2</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510" w:type="dxa"/>
            <w:gridSpan w:val="4"/>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Operating reserve charge </w:t>
            </w:r>
            <w:r>
              <w:rPr>
                <w:rFonts w:cs="Arial" w:ascii="Arial" w:hAnsi="Arial"/>
                <w:color w:val="000000"/>
                <w:sz w:val="16"/>
                <w:vertAlign w:val="superscript"/>
                <w:lang w:eastAsia="en-US"/>
              </w:rPr>
              <w:t>(1)</w:t>
            </w:r>
          </w:p>
        </w:tc>
        <w:tc>
          <w:tcPr>
            <w:tcW w:w="2460" w:type="dxa"/>
            <w:gridSpan w:val="3"/>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178.7 </w:t>
            </w:r>
          </w:p>
        </w:tc>
        <w:tc>
          <w:tcPr>
            <w:tcW w:w="2070" w:type="dxa"/>
            <w:gridSpan w:val="5"/>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347.9 </w:t>
            </w:r>
          </w:p>
        </w:tc>
        <w:tc>
          <w:tcPr>
            <w:tcW w:w="2250" w:type="dxa"/>
            <w:gridSpan w:val="3"/>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(169.2)</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510" w:type="dxa"/>
            <w:gridSpan w:val="4"/>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Other system support services charge </w:t>
            </w:r>
          </w:p>
        </w:tc>
        <w:tc>
          <w:tcPr>
            <w:tcW w:w="2460" w:type="dxa"/>
            <w:gridSpan w:val="3"/>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8.0 </w:t>
            </w:r>
          </w:p>
        </w:tc>
        <w:tc>
          <w:tcPr>
            <w:tcW w:w="2070" w:type="dxa"/>
            <w:gridSpan w:val="5"/>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12.2 </w:t>
            </w:r>
          </w:p>
        </w:tc>
        <w:tc>
          <w:tcPr>
            <w:tcW w:w="2250" w:type="dxa"/>
            <w:gridSpan w:val="3"/>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510" w:type="dxa"/>
            <w:gridSpan w:val="4"/>
            <w:tcBorders/>
          </w:tcPr>
          <w:p>
            <w:pPr>
              <w:pStyle w:val="Normal"/>
              <w:rPr/>
            </w:pPr>
            <w:r>
              <w:rPr>
                <w:rFonts w:eastAsia="Arial" w:cs="Arial" w:ascii="Arial" w:hAnsi="Arial"/>
                <w:color w:val="000000"/>
                <w:lang w:eastAsia="en-US"/>
              </w:rPr>
              <w:t xml:space="preserve"> </w:t>
            </w:r>
            <w:r>
              <w:rPr>
                <w:rFonts w:cs="Arial" w:ascii="Arial" w:hAnsi="Arial"/>
                <w:color w:val="000000"/>
                <w:lang w:eastAsia="en-US"/>
              </w:rPr>
              <w:t xml:space="preserve">Lossses charge </w:t>
            </w:r>
            <w:r>
              <w:rPr>
                <w:rFonts w:cs="Arial" w:ascii="Arial" w:hAnsi="Arial"/>
                <w:color w:val="000000"/>
                <w:sz w:val="16"/>
                <w:vertAlign w:val="superscript"/>
                <w:lang w:eastAsia="en-US"/>
              </w:rPr>
              <w:t>(2)</w:t>
            </w:r>
            <w:r>
              <w:rPr>
                <w:rFonts w:cs="Arial" w:ascii="Arial" w:hAnsi="Arial"/>
                <w:color w:val="000000"/>
                <w:lang w:eastAsia="en-US"/>
              </w:rPr>
              <w:t xml:space="preserve"> </w:t>
            </w:r>
          </w:p>
        </w:tc>
        <w:tc>
          <w:tcPr>
            <w:tcW w:w="2460" w:type="dxa"/>
            <w:gridSpan w:val="3"/>
            <w:tcBorders>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225.1 </w:t>
            </w:r>
          </w:p>
        </w:tc>
        <w:tc>
          <w:tcPr>
            <w:tcW w:w="2070" w:type="dxa"/>
            <w:gridSpan w:val="5"/>
            <w:tcBorders>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178.0 </w:t>
            </w:r>
          </w:p>
        </w:tc>
        <w:tc>
          <w:tcPr>
            <w:tcW w:w="2250" w:type="dxa"/>
            <w:gridSpan w:val="3"/>
            <w:tcBorders>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47.1</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5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6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5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6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(120.1)</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7960" w:type="dxa"/>
            <w:gridSpan w:val="11"/>
            <w:tcBorders/>
          </w:tcPr>
          <w:p>
            <w:pPr>
              <w:pStyle w:val="Normal"/>
              <w:rPr>
                <w:rFonts w:ascii="Arial" w:hAnsi="Arial" w:cs="Arial"/>
                <w:color w:val="000000"/>
                <w:lang w:eastAsia="en-US"/>
              </w:rPr>
            </w:pPr>
            <w:r>
              <w:rPr>
                <w:rFonts w:cs="Arial" w:ascii="Arial" w:hAnsi="Arial"/>
                <w:color w:val="000000"/>
                <w:lang w:eastAsia="en-US"/>
              </w:rPr>
              <w:t xml:space="preserve">Amount collected on March 1, 2001 through Working Capital Deficiency Rider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47" w:type="dxa"/>
            <w:gridSpan w:val="2"/>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20.9 </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7830" w:type="dxa"/>
            <w:gridSpan w:val="9"/>
            <w:tcBorders/>
          </w:tcPr>
          <w:p>
            <w:pPr>
              <w:pStyle w:val="Normal"/>
              <w:rPr>
                <w:rFonts w:ascii="Arial" w:hAnsi="Arial" w:cs="Arial"/>
                <w:color w:val="000000"/>
                <w:lang w:eastAsia="en-US"/>
              </w:rPr>
            </w:pPr>
            <w:r>
              <w:rPr>
                <w:rFonts w:cs="Arial" w:ascii="Arial" w:hAnsi="Arial"/>
                <w:color w:val="000000"/>
                <w:lang w:eastAsia="en-US"/>
              </w:rPr>
              <w:t xml:space="preserve">Amount collected on January 29, 2002 through Working Capital Deficiency Rider </w:t>
            </w:r>
          </w:p>
        </w:tc>
        <w:tc>
          <w:tcPr>
            <w:tcW w:w="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bottom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4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55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3510" w:type="dxa"/>
            <w:gridSpan w:val="4"/>
            <w:tcBorders/>
          </w:tcPr>
          <w:p>
            <w:pPr>
              <w:pStyle w:val="Normal"/>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2001 Deferral balance outstanding </w:t>
            </w:r>
          </w:p>
        </w:tc>
        <w:tc>
          <w:tcPr>
            <w:tcW w:w="2460"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bottom w:val="doub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(61.1)</w:t>
            </w:r>
          </w:p>
        </w:tc>
        <w:tc>
          <w:tcPr>
            <w:tcW w:w="1010"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62" w:hRule="atLeast"/>
        </w:trPr>
        <w:tc>
          <w:tcPr>
            <w:tcW w:w="351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6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70"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5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$116,518,000 of the costs incurred relate to Transmission Must Run (TMR) payments that have been made in accordance with article 24 of the TA’s tariff, in accordance with interim direction from the Alberta Energy and Utilities Board (AEUB).  The TA currently has an application before the AEUB to review the article 24 mechanism that may result in a reduction of the final cost of TMR.  There is a hearing scheduled in the first quarter of 2002 which should resolve this issue.  If the final cost is reduced, the amount currently under collected will be reduced, thereby reducing the total deferral account balance.  </w:t>
      </w:r>
    </w:p>
    <w:p>
      <w:pPr>
        <w:pStyle w:val="Normal"/>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 xml:space="preserve">In addition to the variance arising from the article 24 TMR payments, a variance has arisen due to the under forecasting of reserve volumes.  </w:t>
      </w:r>
    </w:p>
    <w:p>
      <w:pPr>
        <w:pStyle w:val="Normal"/>
        <w:ind w:start="360" w:end="0"/>
        <w:rPr>
          <w:rFonts w:ascii="Arial" w:hAnsi="Arial" w:cs="Arial"/>
          <w:sz w:val="22"/>
        </w:rPr>
      </w:pPr>
      <w:r>
        <w:rPr>
          <w:rFonts w:cs="Arial" w:ascii="Arial" w:hAnsi="Arial"/>
          <w:sz w:val="22"/>
        </w:rPr>
      </w:r>
    </w:p>
    <w:p>
      <w:pPr>
        <w:pStyle w:val="BodyTextIndent"/>
        <w:numPr>
          <w:ilvl w:val="0"/>
          <w:numId w:val="1"/>
        </w:numPr>
        <w:rPr/>
      </w:pPr>
      <w:r>
        <w:rPr/>
        <w:t>Although the above deferral summary indicates that ESBI has over collected for transmission line losses, the Company believes that this does not accurately reflect the level of losses that have been incurred on the system.  The deferral balance is based upon the invoices received by ESBI from the Power Pool of Alberta.  These invoices indicate that the level of losses is approximately 4.3% of metered energy, which is substantially below historic levels of 5.8% and calculated levels of 6.7% in 2001.  The level of losses is higher than historic levels as a result of the provincial shift to being a net exporter of power, as well as higher than expected load growth in the Calgary area.  As a result, ESBI estimates that it has under collected for losses by approximately $43,000,000 through to the end of December, as opposed to the over collection that is depicted above.  If this is the case ESBI will be required to collect a further $43,000,000 through the deferral settlement mechanism.  ESBI is working together with the Power Pool of Alberta and the Alberta Settlement Committee to identify the cause of the invoice inaccuracies.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2002-01-30T18:56:00Z</dcterms:created>
  <dc:creator>DErickson</dc:creator>
  <dc:description/>
  <dc:language>en-CA</dc:language>
  <cp:lastModifiedBy>MOxner</cp:lastModifiedBy>
  <cp:lastPrinted>2002-01-30T15:34:00Z</cp:lastPrinted>
  <dcterms:modified xsi:type="dcterms:W3CDTF">2002-01-30T20:18:00Z</dcterms:modified>
  <cp:revision>5</cp:revision>
  <dc:subject/>
  <dc:title>This document provides a summary of the current status of ESBI Alberta Ltd</dc:title>
</cp:coreProperties>
</file>