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Power Purchase Agreements</w:t>
      </w:r>
    </w:p>
    <w:p>
      <w:pPr>
        <w:pStyle w:val="Normal"/>
        <w:rPr/>
      </w:pPr>
      <w:r>
        <w:rPr/>
      </w:r>
    </w:p>
    <w:tbl>
      <w:tblPr>
        <w:tblW w:w="9144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4"/>
        <w:gridCol w:w="4590"/>
      </w:tblGrid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Buyer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Enron Power Marketing, Inc.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Seller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Orion Power Holdings, Inc.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Fixed Price Period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See Attached PPA Summary Table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 must pay a fixed monthly Demand Charge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in exchange for its right to capacity, energy and ancillary services.  When energy or ancillary services are scheduled, Buyer must supply fuel, take output and pay an Energy Charge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plus a Start Charge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Right to Extend Fixed Price Period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See Attached PPA Summary Table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 has right to extend the Fixed Price Period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(on a plant by plant basis) for the terms set forth on the attached </w:t>
            </w:r>
            <w:r>
              <w:rPr>
                <w:rFonts w:cs="Arial" w:ascii="Arial" w:hAnsi="Arial"/>
                <w:i/>
                <w:iCs/>
                <w:sz w:val="22"/>
              </w:rPr>
              <w:t>PPA Summary Table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Market Price Period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Heading2"/>
              <w:ind w:hanging="0" w:start="0"/>
              <w:rPr/>
            </w:pPr>
            <w:r>
              <w:rPr/>
              <w:t>See Attached PPA Summary Table</w:t>
              <w:tab/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 has the right to buy up to 100% of the capacity, energy and ancillary services at a market index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Pricing During the Market Price Period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Buyer and Seller must agree upon a market index for any component of capacity, energy and ancillary services.  If Buyer and Seller agree, Buyer may take up to 100% of the capacity, energy or ancillary services at the market index.  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Quantity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Actual output level of each plant as established initially by a performance test and calculated annually based upon agreed upon curves (subject to either party’s right to request a re-test with the cost thereof to be shared equally by both parties)</w:t>
            </w:r>
          </w:p>
          <w:p>
            <w:pPr>
              <w:pStyle w:val="Normal"/>
              <w:rPr>
                <w:rFonts w:ascii="Arial" w:hAnsi="Arial" w:eastAsia="Arial" w:cs="Arial"/>
                <w:sz w:val="22"/>
              </w:rPr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In each hour, quantity is adjusted for ambient conditions to calculate the amount of available output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22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2"/>
              </w:rPr>
              <w:t>Hours in which Buyer can Schedule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On Peak Hours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are those listed on the </w:t>
            </w:r>
            <w:r>
              <w:rPr>
                <w:rFonts w:cs="Arial" w:ascii="Arial" w:hAnsi="Arial"/>
                <w:i/>
                <w:iCs/>
                <w:sz w:val="22"/>
              </w:rPr>
              <w:t>PPA Summary Table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During Off Peak Hours (those other than On Peak Hours), Seller has a best efforts obligation to supply but there are no penalty provisions associated with a failure to deliver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Minimum Block Size, Duration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Size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– </w:t>
            </w:r>
            <w:r>
              <w:rPr>
                <w:rFonts w:cs="Arial" w:ascii="Arial" w:hAnsi="Arial"/>
                <w:i/>
                <w:iCs/>
                <w:sz w:val="22"/>
              </w:rPr>
              <w:t>See Attached PPA Summary Table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Minimum Duration = 2 hours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9144" w:type="dxa"/>
        <w:jc w:val="start"/>
        <w:tblInd w:w="14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54"/>
        <w:gridCol w:w="4590"/>
      </w:tblGrid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Guaranteed Availability for Damages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i/>
                <w:iCs/>
                <w:sz w:val="22"/>
              </w:rPr>
              <w:t>See Attached PPA Summary Table</w:t>
            </w:r>
            <w:r>
              <w:rPr>
                <w:rFonts w:cs="Arial" w:ascii="Arial" w:hAnsi="Arial"/>
                <w:sz w:val="22"/>
              </w:rPr>
              <w:t xml:space="preserve"> for Availability Requirements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Summer Months</w:t>
            </w:r>
            <w:r>
              <w:rPr>
                <w:rFonts w:cs="Arial" w:ascii="Arial" w:hAnsi="Arial"/>
                <w:sz w:val="22"/>
              </w:rPr>
              <w:t xml:space="preserve"> = June, July, August, September</w:t>
              <w:tab/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Shoulder Months</w:t>
            </w:r>
            <w:r>
              <w:rPr>
                <w:rFonts w:cs="Arial" w:ascii="Arial" w:hAnsi="Arial"/>
                <w:sz w:val="22"/>
              </w:rPr>
              <w:t xml:space="preserve"> = March, October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u w:val="single"/>
              </w:rPr>
              <w:t>Winter Months</w:t>
            </w:r>
            <w:r>
              <w:rPr>
                <w:rFonts w:cs="Arial" w:ascii="Arial" w:hAnsi="Arial"/>
                <w:sz w:val="22"/>
              </w:rPr>
              <w:t xml:space="preserve"> = April, May, November, December, January, February</w:t>
              <w:tab/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Damages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Cost of cover damages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Gas Transportation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During Fixed Price Period, Seller shall own the gas transportation rights but Buyer shall be entitled to exclusive use thereof and must pay all costs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Automatic Generating Control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Buyer has right to install, pay for and utilize automatic generation control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 xml:space="preserve">Payment 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Demand Charges and Energy Charges paid monthly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Start Charges paid annually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Event of Default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In addition to the typical events of default, if the average monthly actual availability is below 80% for any consecutive twelve month period or 85% for any consecutive twenty-four month period 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Heat Rate Guaranty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The heat rate of each plant shall not exceed the Guaranteed Heat Rate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Heat Rate Penalty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Seller shall pay the actual fuel costs (based on Buyer’s cost therefor) for any additional fuel required because the actual plant heat rate exceeds the Guaranteed Heat Rate</w:t>
            </w:r>
          </w:p>
        </w:tc>
      </w:tr>
      <w:tr>
        <w:trPr>
          <w:trHeight w:val="558" w:hRule="atLeast"/>
        </w:trPr>
        <w:tc>
          <w:tcPr>
            <w:tcW w:w="4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Scheduling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Buyer shall be able to call on each plant after providing the Minimum Dispatch Notice prior to when the energy or ancillary services are needed.  </w:t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</w:rPr>
              <w:t>Buyer’s ability to Schedule shall be limited to the Maximum Callable Hours</w:t>
            </w:r>
            <w:r>
              <w:rPr>
                <w:rFonts w:cs="Arial" w:ascii="Arial" w:hAnsi="Arial"/>
                <w:sz w:val="22"/>
                <w:vertAlign w:val="superscript"/>
              </w:rPr>
              <w:t>*</w:t>
            </w:r>
            <w:r>
              <w:rPr>
                <w:rFonts w:cs="Arial" w:ascii="Arial" w:hAnsi="Arial"/>
                <w:sz w:val="22"/>
              </w:rPr>
              <w:t xml:space="preserve"> for each plant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2240" w:h="15840"/>
          <w:pgMar w:left="720" w:right="720" w:gutter="0" w:header="1872" w:top="1928" w:footer="475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562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0"/>
        <w:gridCol w:w="2250"/>
        <w:gridCol w:w="2070"/>
        <w:gridCol w:w="2088"/>
        <w:gridCol w:w="1980"/>
        <w:gridCol w:w="1962"/>
        <w:gridCol w:w="1962"/>
      </w:tblGrid>
      <w:tr>
        <w:trPr>
          <w:tblHeader w:val="true"/>
        </w:trPr>
        <w:tc>
          <w:tcPr>
            <w:tcW w:w="14562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sz w:val="24"/>
              </w:rPr>
              <w:t>PPA SUMMARY TABLE</w:t>
            </w:r>
          </w:p>
        </w:tc>
      </w:tr>
      <w:tr>
        <w:trPr>
          <w:tblHeader w:val="true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Brownsville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Caledonia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Albany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Wilton Center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Wheatland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Gleason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Output**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446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2"/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356</w:t>
            </w:r>
            <w:r>
              <w:rPr>
                <w:rFonts w:cs="Arial" w:ascii="Arial" w:hAnsi="Arial"/>
                <w:vertAlign w:val="superscript"/>
              </w:rPr>
              <w:t>1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608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470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510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 Peak Hours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(Central Prevailing Time)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HE 0700 – HE 2200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Guaranteed Heat Rate** (HHV, Btu/kWh)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11,406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12,064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12,500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21" w:start="21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11,973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11,734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10,592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Fixed Price Period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Three years beginning 1/1/2001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Rights to Extend Fixed Price Period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Initial option to extend for a period of three (3) years with two (2) additional rights to extend for five years each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Market Price Period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Beginning upon the expiration of the Fixed Price Period and ending on 12/31/2020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Demand Charge ($/Kwm) during the Initial Fixed Price Period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  <w:tc>
          <w:tcPr>
            <w:tcW w:w="1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$4.00</w:t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4580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0"/>
        <w:gridCol w:w="2250"/>
        <w:gridCol w:w="2070"/>
        <w:gridCol w:w="2070"/>
        <w:gridCol w:w="1980"/>
        <w:gridCol w:w="1980"/>
        <w:gridCol w:w="1980"/>
      </w:tblGrid>
      <w:tr>
        <w:trPr>
          <w:tblHeader w:val="true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Brownsville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Caledonia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New Albany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Wilton Center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Wheatland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Gleason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Demand Charge ($Kwm) during extensions of the Fixed Price Period (if any):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First Extension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Second Extension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Third Extension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Based upon the ICF Curve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Charge ($/MW)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$2.00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$3.00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$1.50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Start Charge ($/Start/Turbine)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$1,000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$1,500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Callable Hours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1685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1086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3250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915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 Availability: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Summer Months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Shoulder Months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Winter Months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3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Style w:val="FootnoteCharacters"/>
                <w:rStyle w:val="FootnoteReference"/>
                <w:rFonts w:cs="Arial" w:ascii="Arial" w:hAnsi="Arial"/>
              </w:rPr>
              <w:footnoteReference w:id="4"/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2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98%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  <w:r>
              <w:rPr>
                <w:rFonts w:cs="Arial" w:ascii="Arial" w:hAnsi="Arial"/>
                <w:vertAlign w:val="superscript"/>
              </w:rPr>
              <w:t>3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95%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Minimum Block Size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</w:t>
            </w:r>
          </w:p>
        </w:tc>
      </w:tr>
      <w:tr>
        <w:trPr/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Min Dispatch Notice (minutes)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2"/>
        <w:rPr>
          <w:b w:val="false"/>
          <w:u w:val="none"/>
        </w:rPr>
      </w:pPr>
      <w:r>
        <w:rPr>
          <w:b w:val="false"/>
          <w:u w:val="none"/>
        </w:rPr>
        <w:t>**  Output and Heat Rate figures assuming new and clean 90º F, 14.524 p.s.i.a., 60% relative humidity</w:t>
      </w:r>
    </w:p>
    <w:p>
      <w:pPr>
        <w:pStyle w:val="BodyText2"/>
        <w:rPr>
          <w:b w:val="false"/>
          <w:u w:val="none"/>
        </w:rPr>
      </w:pPr>
      <w:r>
        <w:rPr>
          <w:b w:val="false"/>
          <w:u w:val="none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footnotePr>
        <w:numFmt w:val="decimal"/>
      </w:footnotePr>
      <w:type w:val="nextPage"/>
      <w:pgSz w:orient="landscape" w:w="15840" w:h="12240"/>
      <w:pgMar w:left="1440" w:right="1440" w:gutter="0" w:header="1872" w:top="1928" w:footer="475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eastAsia="Arial" w:cs="Arial" w:ascii="Arial" w:hAnsi="Arial"/>
        <w:sz w:val="22"/>
        <w:vertAlign w:val="superscript"/>
      </w:rPr>
      <w:t xml:space="preserve"> </w:t>
    </w:r>
    <w:r>
      <w:rPr>
        <w:rFonts w:cs="Arial" w:ascii="Arial" w:hAnsi="Arial"/>
        <w:sz w:val="22"/>
        <w:vertAlign w:val="superscript"/>
      </w:rPr>
      <w:t>*</w:t>
    </w:r>
    <w:r>
      <w:rPr>
        <w:rFonts w:cs="Arial" w:ascii="Arial" w:hAnsi="Arial"/>
        <w:sz w:val="22"/>
      </w:rPr>
      <w:t xml:space="preserve"> Terms are defined for each of the facilities on the PPA Summary Table attached hereto</w:t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/mnt/main-storage/datasets/enron-docs/doc/E2_PPA_Term_Sheet_v2.doc</w:t>
    </w:r>
    <w:r>
      <w:rPr>
        <w:sz w:val="16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</w:r>
  </w:p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/mnt/main-storage/datasets/enron-docs/doc/E2_PPA_Term_Sheet_v2.doc</w:t>
    </w:r>
    <w:r>
      <w:rPr>
        <w:sz w:val="16"/>
        <w:rFonts w:cs="Arial" w:ascii="Arial" w:hAnsi="Arial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With the installation of evaporative coolers, output will increase to 466 for Caledonia and 371 for New Albany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>Excluding the entire month of March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 xml:space="preserve">Excluding the entire month of October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</w:rPr>
    </w:pPr>
    <w:r>
      <w:rPr>
        <w:b/>
        <w:bCs/>
      </w:rPr>
      <w:t>DRAFT: FOR REVIEW AND DISCUSSION PURPOSES ONLY</w:t>
    </w:r>
  </w:p>
  <w:p>
    <w:pPr>
      <w:pStyle w:val="Header"/>
      <w:jc w:val="end"/>
      <w:rPr>
        <w:b/>
        <w:bCs/>
      </w:rPr>
    </w:pPr>
    <w:r>
      <w:rPr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</w:rPr>
    </w:pPr>
    <w:r>
      <w:rPr>
        <w:b/>
        <w:bCs/>
      </w:rPr>
      <w:t>DRAFT: FOR REVIEW AND DISCUSSION PURPOSES ONLY</w:t>
    </w:r>
  </w:p>
  <w:p>
    <w:pPr>
      <w:pStyle w:val="Header"/>
      <w:jc w:val="end"/>
      <w:rPr>
        <w:b/>
        <w:bCs/>
      </w:rPr>
    </w:pPr>
    <w:r>
      <w:rPr>
        <w:b/>
        <w:bCs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i/>
      <w:i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28"/>
      <w:u w:val="single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b/>
      <w:sz w:val="24"/>
      <w:u w:val="single"/>
    </w:rPr>
  </w:style>
  <w:style w:type="paragraph" w:styleId="FootnoteText">
    <w:name w:val="foot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2000-05-16T19:51:00Z</dcterms:created>
  <dc:creator>lnoske</dc:creator>
  <dc:description/>
  <dc:language>en-CA</dc:language>
  <cp:lastModifiedBy>lnoske</cp:lastModifiedBy>
  <cp:lastPrinted>2000-05-16T18:03:00Z</cp:lastPrinted>
  <dcterms:modified xsi:type="dcterms:W3CDTF">2000-05-16T20:38:00Z</dcterms:modified>
  <cp:revision>4</cp:revision>
  <dc:subject/>
  <dc:title>Power Purchase Agreements</dc:title>
</cp:coreProperties>
</file>