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8"/>
          <w:u w:val="single"/>
        </w:rPr>
      </w:pPr>
      <w:r>
        <w:rPr>
          <w:rFonts w:cs="Arial" w:ascii="Arial" w:hAnsi="Arial"/>
          <w:b/>
          <w:sz w:val="28"/>
          <w:u w:val="single"/>
        </w:rPr>
        <w:t>Power Purchase Agreements</w:t>
      </w:r>
    </w:p>
    <w:p>
      <w:pPr>
        <w:pStyle w:val="Normal"/>
        <w:rPr>
          <w:rFonts w:ascii="Arial" w:hAnsi="Arial" w:cs="Arial"/>
          <w:b/>
          <w:sz w:val="28"/>
          <w:u w:val="single"/>
        </w:rPr>
      </w:pPr>
      <w:r>
        <w:rPr>
          <w:rFonts w:cs="Arial" w:ascii="Arial" w:hAnsi="Arial"/>
          <w:b/>
          <w:sz w:val="28"/>
          <w:u w:val="single"/>
        </w:rPr>
      </w:r>
    </w:p>
    <w:tbl>
      <w:tblPr>
        <w:tblW w:w="9144" w:type="dxa"/>
        <w:jc w:val="start"/>
        <w:tblInd w:w="144" w:type="dxa"/>
        <w:tblLayout w:type="fixed"/>
        <w:tblCellMar>
          <w:top w:w="0" w:type="dxa"/>
          <w:start w:w="108" w:type="dxa"/>
          <w:bottom w:w="0" w:type="dxa"/>
          <w:end w:w="108" w:type="dxa"/>
        </w:tblCellMar>
      </w:tblPr>
      <w:tblGrid>
        <w:gridCol w:w="4554"/>
        <w:gridCol w:w="4590"/>
      </w:tblGrid>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Fixed Price Period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See Attached PPA Summary Table</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Buyer must pay a fixed monthly Capacity Charge in exchange for its right to capacity, energy and ancillary services.  When energy or ancillary services are scheduled, Buyer must supply fuel, take output and pay an Energy Charge plus a Start Charge</w:t>
            </w:r>
          </w:p>
          <w:p>
            <w:pPr>
              <w:pStyle w:val="Normal"/>
              <w:rPr>
                <w:rFonts w:ascii="Arial" w:hAnsi="Arial" w:cs="Arial"/>
                <w:sz w:val="22"/>
              </w:rPr>
            </w:pPr>
            <w:r>
              <w:rPr>
                <w:rFonts w:cs="Arial" w:ascii="Arial" w:hAnsi="Arial"/>
                <w:sz w:val="22"/>
              </w:rPr>
            </w:r>
          </w:p>
        </w:tc>
      </w:tr>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Right to Extend Fixed Price Period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See Attached PPA Summary Table</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Buyer has right to extend the Fixed Price Period (on a plant by plant basis) for the terms set forth on the attached PPA Summary Table</w:t>
            </w:r>
          </w:p>
        </w:tc>
      </w:tr>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 xml:space="preserve">Market Price Period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See Attached PPA Summary Table</w:t>
              <w:tab/>
            </w:r>
          </w:p>
          <w:p>
            <w:pPr>
              <w:pStyle w:val="Normal"/>
              <w:rPr>
                <w:rFonts w:ascii="Arial" w:hAnsi="Arial" w:cs="Arial"/>
                <w:sz w:val="22"/>
              </w:rPr>
            </w:pPr>
            <w:r>
              <w:rPr>
                <w:rFonts w:cs="Arial" w:ascii="Arial" w:hAnsi="Arial"/>
                <w:sz w:val="22"/>
              </w:rPr>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Right to buy up to 100% at index</w:t>
            </w:r>
          </w:p>
          <w:p>
            <w:pPr>
              <w:pStyle w:val="Normal"/>
              <w:rPr>
                <w:rFonts w:ascii="Arial" w:hAnsi="Arial" w:cs="Arial"/>
                <w:sz w:val="22"/>
              </w:rPr>
            </w:pPr>
            <w:r>
              <w:rPr>
                <w:rFonts w:cs="Arial" w:ascii="Arial" w:hAnsi="Arial"/>
                <w:sz w:val="22"/>
              </w:rPr>
            </w:r>
          </w:p>
        </w:tc>
      </w:tr>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Pricing During the Market Price Period</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 xml:space="preserve">Buyer and Seller must agree to an index for any component of electricity (capacity, energy, ancillary services, etc).  If Buyer and Seller agree, Buyer may take up to 100% of the output at the index.  </w:t>
            </w:r>
          </w:p>
        </w:tc>
      </w:tr>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Quantity</w:t>
            </w:r>
          </w:p>
          <w:p>
            <w:pPr>
              <w:pStyle w:val="Normal"/>
              <w:rPr>
                <w:rFonts w:ascii="Arial" w:hAnsi="Arial" w:cs="Arial"/>
                <w:sz w:val="22"/>
              </w:rPr>
            </w:pPr>
            <w:r>
              <w:rPr>
                <w:rFonts w:cs="Arial" w:ascii="Arial" w:hAnsi="Arial"/>
                <w:sz w:val="22"/>
              </w:rPr>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Actual output level of each plant as established initially by a performance test and calculated annually based upon agreed upon curves (subject to either party’s right to request a re-test with the cost thereof to be shared equally by both parties)</w:t>
            </w:r>
          </w:p>
          <w:p>
            <w:pPr>
              <w:pStyle w:val="Normal"/>
              <w:rPr>
                <w:rFonts w:ascii="Arial" w:hAnsi="Arial" w:eastAsia="Arial" w:cs="Arial"/>
                <w:sz w:val="22"/>
              </w:rPr>
            </w:pPr>
            <w:r>
              <w:rPr>
                <w:rFonts w:eastAsia="Arial" w:cs="Arial" w:ascii="Arial" w:hAnsi="Arial"/>
                <w:sz w:val="22"/>
              </w:rPr>
              <w:t xml:space="preserve"> </w:t>
            </w:r>
          </w:p>
          <w:p>
            <w:pPr>
              <w:pStyle w:val="Normal"/>
              <w:rPr>
                <w:rFonts w:ascii="Arial" w:hAnsi="Arial" w:cs="Arial"/>
                <w:sz w:val="22"/>
              </w:rPr>
            </w:pPr>
            <w:r>
              <w:rPr>
                <w:rFonts w:cs="Arial" w:ascii="Arial" w:hAnsi="Arial"/>
                <w:sz w:val="22"/>
              </w:rPr>
              <w:t>In each hour, quantity is adjusted for ambient conditions to calculate the amount of available output</w:t>
            </w:r>
          </w:p>
        </w:tc>
      </w:tr>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Hours in which Buyer can Schedule</w:t>
            </w:r>
          </w:p>
          <w:p>
            <w:pPr>
              <w:pStyle w:val="Normal"/>
              <w:rPr>
                <w:rFonts w:ascii="Arial" w:hAnsi="Arial" w:cs="Arial"/>
                <w:sz w:val="22"/>
              </w:rPr>
            </w:pPr>
            <w:r>
              <w:rPr>
                <w:rFonts w:cs="Arial" w:ascii="Arial" w:hAnsi="Arial"/>
                <w:sz w:val="22"/>
              </w:rPr>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On Peak Hours are those listed on the PPA Summary Table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During Off Peak Hours (those other than On Peak Hours), Seller has best efforts obligation to supply but there are no penalty provisions</w:t>
            </w:r>
          </w:p>
        </w:tc>
      </w:tr>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Minimum Block Size, Duration</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Size – See Attached PPA Summary Table</w:t>
            </w:r>
          </w:p>
          <w:p>
            <w:pPr>
              <w:pStyle w:val="Normal"/>
              <w:rPr>
                <w:rFonts w:ascii="Arial" w:hAnsi="Arial" w:cs="Arial"/>
                <w:sz w:val="22"/>
              </w:rPr>
            </w:pPr>
            <w:r>
              <w:rPr>
                <w:rFonts w:cs="Arial" w:ascii="Arial" w:hAnsi="Arial"/>
                <w:sz w:val="22"/>
              </w:rPr>
              <w:t>Minimum Duration = 2 hours</w:t>
            </w:r>
          </w:p>
        </w:tc>
      </w:tr>
    </w:tbl>
    <w:p>
      <w:pPr>
        <w:pStyle w:val="Normal"/>
        <w:rPr/>
      </w:pPr>
      <w:r>
        <w:br w:type="page"/>
      </w:r>
      <w:r>
        <w:rPr/>
      </w:r>
    </w:p>
    <w:tbl>
      <w:tblPr>
        <w:tblW w:w="9144" w:type="dxa"/>
        <w:jc w:val="start"/>
        <w:tblInd w:w="144" w:type="dxa"/>
        <w:tblLayout w:type="fixed"/>
        <w:tblCellMar>
          <w:top w:w="0" w:type="dxa"/>
          <w:start w:w="108" w:type="dxa"/>
          <w:bottom w:w="0" w:type="dxa"/>
          <w:end w:w="108" w:type="dxa"/>
        </w:tblCellMar>
      </w:tblPr>
      <w:tblGrid>
        <w:gridCol w:w="4554"/>
        <w:gridCol w:w="4590"/>
      </w:tblGrid>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Guaranteed Availability for Damages</w:t>
            </w:r>
          </w:p>
          <w:p>
            <w:pPr>
              <w:pStyle w:val="Normal"/>
              <w:rPr>
                <w:rFonts w:ascii="Arial" w:hAnsi="Arial" w:cs="Arial"/>
                <w:sz w:val="22"/>
              </w:rPr>
            </w:pPr>
            <w:r>
              <w:rPr>
                <w:rFonts w:cs="Arial" w:ascii="Arial" w:hAnsi="Arial"/>
                <w:sz w:val="22"/>
              </w:rPr>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 xml:space="preserve">See Attached PPA Summary Table for Availability Requirements </w:t>
            </w:r>
          </w:p>
          <w:p>
            <w:pPr>
              <w:pStyle w:val="Normal"/>
              <w:rPr>
                <w:rFonts w:ascii="Arial" w:hAnsi="Arial" w:cs="Arial"/>
                <w:sz w:val="22"/>
              </w:rPr>
            </w:pPr>
            <w:r>
              <w:rPr>
                <w:rFonts w:cs="Arial" w:ascii="Arial" w:hAnsi="Arial"/>
                <w:sz w:val="22"/>
              </w:rPr>
            </w:r>
          </w:p>
          <w:p>
            <w:pPr>
              <w:pStyle w:val="Normal"/>
              <w:rPr/>
            </w:pPr>
            <w:r>
              <w:rPr>
                <w:rFonts w:cs="Arial" w:ascii="Arial" w:hAnsi="Arial"/>
                <w:sz w:val="22"/>
                <w:u w:val="single"/>
              </w:rPr>
              <w:t>Summer Months</w:t>
            </w:r>
            <w:r>
              <w:rPr>
                <w:rFonts w:cs="Arial" w:ascii="Arial" w:hAnsi="Arial"/>
                <w:sz w:val="22"/>
              </w:rPr>
              <w:t xml:space="preserve"> = June, July, August, September</w:t>
              <w:tab/>
            </w:r>
          </w:p>
          <w:p>
            <w:pPr>
              <w:pStyle w:val="Normal"/>
              <w:rPr/>
            </w:pPr>
            <w:r>
              <w:rPr>
                <w:rFonts w:cs="Arial" w:ascii="Arial" w:hAnsi="Arial"/>
                <w:sz w:val="22"/>
                <w:u w:val="single"/>
              </w:rPr>
              <w:t>Shoulder Months</w:t>
            </w:r>
            <w:r>
              <w:rPr>
                <w:rFonts w:cs="Arial" w:ascii="Arial" w:hAnsi="Arial"/>
                <w:sz w:val="22"/>
              </w:rPr>
              <w:t xml:space="preserve"> = March, October</w:t>
            </w:r>
          </w:p>
          <w:p>
            <w:pPr>
              <w:pStyle w:val="Normal"/>
              <w:rPr/>
            </w:pPr>
            <w:r>
              <w:rPr>
                <w:rFonts w:cs="Arial" w:ascii="Arial" w:hAnsi="Arial"/>
                <w:sz w:val="22"/>
                <w:u w:val="single"/>
              </w:rPr>
              <w:t>Winter Months</w:t>
            </w:r>
            <w:r>
              <w:rPr>
                <w:rFonts w:cs="Arial" w:ascii="Arial" w:hAnsi="Arial"/>
                <w:sz w:val="22"/>
              </w:rPr>
              <w:t xml:space="preserve"> = April, May, November, December, January, February</w:t>
              <w:tab/>
            </w:r>
          </w:p>
        </w:tc>
      </w:tr>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Damages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Damage Multiplier</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(Guaranteed Availability-Actual Availability) x Demand Charge x Damage Multiplier</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See Attached PPA Summary Table</w:t>
            </w:r>
          </w:p>
          <w:p>
            <w:pPr>
              <w:pStyle w:val="Normal"/>
              <w:rPr>
                <w:rFonts w:ascii="Arial" w:hAnsi="Arial" w:cs="Arial"/>
                <w:sz w:val="22"/>
              </w:rPr>
            </w:pPr>
            <w:r>
              <w:rPr>
                <w:rFonts w:cs="Arial" w:ascii="Arial" w:hAnsi="Arial"/>
                <w:sz w:val="22"/>
              </w:rPr>
            </w:r>
          </w:p>
        </w:tc>
      </w:tr>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Gas Transportation</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During Fixed Price Period, Seller shall own the gas transportation rights but Buyer shall be entitled to exclusive use thereof and must pay all costs</w:t>
            </w:r>
          </w:p>
        </w:tc>
      </w:tr>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Automatic Generating Control</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Buyer has right to install, pay for and utilize AGC</w:t>
            </w:r>
          </w:p>
        </w:tc>
      </w:tr>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 xml:space="preserve">Payment </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Demand Charge and Energy Charges paid monthly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Start Charges paid annually</w:t>
            </w:r>
          </w:p>
        </w:tc>
      </w:tr>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Event of Default</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 xml:space="preserve">In addition to the typical events of default, if the average monthly Actual Availability is below 80% for any consecutive twelve month period or 85% for any consecutive twenty-four month period </w:t>
            </w:r>
          </w:p>
        </w:tc>
      </w:tr>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Heat Rate Guaranty</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The heat rate of each plant shall not exceed the Guaranteed Heat Rate</w:t>
            </w:r>
          </w:p>
        </w:tc>
      </w:tr>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Heat Rate Penalty</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Seller shall pay the actual fuel costs (based on Buyer’s cost therefor) for any additional fuel required because the actual plant heat rate exceeds the Guaranteed Heat Rate</w:t>
            </w:r>
          </w:p>
        </w:tc>
      </w:tr>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Scheduling</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 xml:space="preserve">Buyer shall be able to call on each plant after providing the Minimum Dispatch Notice prior to when the energy or ancillary services are needed.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Buyer’s ability to Schedule shall be limited to the Maximum Callable Hours for each plant</w:t>
            </w:r>
          </w:p>
        </w:tc>
      </w:tr>
    </w:tbl>
    <w:p>
      <w:pPr>
        <w:sectPr>
          <w:footerReference w:type="default" r:id="rId2"/>
          <w:type w:val="nextPage"/>
          <w:pgSz w:w="12240" w:h="15840"/>
          <w:pgMar w:left="720" w:right="720" w:gutter="0" w:header="0" w:top="1440" w:footer="475" w:bottom="1440"/>
          <w:pgNumType w:fmt="decimal"/>
          <w:formProt w:val="false"/>
          <w:textDirection w:val="lrTb"/>
          <w:docGrid w:type="default" w:linePitch="360" w:charSpace="0"/>
        </w:sectPr>
        <w:pStyle w:val="Normal"/>
        <w:rPr/>
      </w:pPr>
      <w:r>
        <w:rPr/>
      </w:r>
    </w:p>
    <w:p>
      <w:pPr>
        <w:pStyle w:val="Normal"/>
        <w:rPr/>
      </w:pPr>
      <w:r>
        <w:rPr/>
      </w:r>
    </w:p>
    <w:tbl>
      <w:tblPr>
        <w:tblW w:w="13878" w:type="dxa"/>
        <w:jc w:val="start"/>
        <w:tblInd w:w="0" w:type="dxa"/>
        <w:tblLayout w:type="fixed"/>
        <w:tblCellMar>
          <w:top w:w="0" w:type="dxa"/>
          <w:start w:w="108" w:type="dxa"/>
          <w:bottom w:w="0" w:type="dxa"/>
          <w:end w:w="108" w:type="dxa"/>
        </w:tblCellMar>
      </w:tblPr>
      <w:tblGrid>
        <w:gridCol w:w="1638"/>
        <w:gridCol w:w="1301"/>
        <w:gridCol w:w="1301"/>
        <w:gridCol w:w="1301"/>
        <w:gridCol w:w="1407"/>
        <w:gridCol w:w="1440"/>
        <w:gridCol w:w="1350"/>
        <w:gridCol w:w="1440"/>
        <w:gridCol w:w="1350"/>
        <w:gridCol w:w="1350"/>
      </w:tblGrid>
      <w:tr>
        <w:trPr>
          <w:tblHeader w:val="true"/>
        </w:trPr>
        <w:tc>
          <w:tcPr>
            <w:tcW w:w="13878" w:type="dxa"/>
            <w:gridSpan w:val="10"/>
            <w:tcBorders>
              <w:top w:val="single" w:sz="4" w:space="0" w:color="000000"/>
              <w:start w:val="single" w:sz="4" w:space="0" w:color="000000"/>
              <w:bottom w:val="single" w:sz="4" w:space="0" w:color="000000"/>
              <w:end w:val="single" w:sz="4" w:space="0" w:color="000000"/>
            </w:tcBorders>
            <w:shd w:fill="E5E5E5" w:val="clear"/>
          </w:tcPr>
          <w:p>
            <w:pPr>
              <w:pStyle w:val="Heading1"/>
              <w:ind w:hanging="0" w:start="0"/>
              <w:rPr/>
            </w:pPr>
            <w:r>
              <w:rPr/>
              <w:t>PPA SUMMARY TABLE</w:t>
            </w:r>
          </w:p>
        </w:tc>
      </w:tr>
      <w:tr>
        <w:trPr>
          <w:tblHeader w:val="true"/>
        </w:trPr>
        <w:tc>
          <w:tcPr>
            <w:tcW w:w="1638"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rPr>
                <w:rFonts w:ascii="Arial" w:hAnsi="Arial" w:cs="Arial"/>
              </w:rPr>
            </w:pPr>
            <w:r>
              <w:rPr>
                <w:rFonts w:cs="Arial" w:ascii="Arial" w:hAnsi="Arial"/>
              </w:rPr>
            </w:r>
          </w:p>
        </w:tc>
        <w:tc>
          <w:tcPr>
            <w:tcW w:w="1301" w:type="dxa"/>
            <w:tcBorders>
              <w:top w:val="single" w:sz="4" w:space="0" w:color="000000"/>
              <w:start w:val="single" w:sz="4" w:space="0" w:color="000000"/>
              <w:bottom w:val="single" w:sz="4" w:space="0" w:color="000000"/>
              <w:end w:val="single" w:sz="4" w:space="0" w:color="000000"/>
            </w:tcBorders>
            <w:shd w:fill="E5E5E5" w:val="clear"/>
          </w:tcPr>
          <w:p>
            <w:pPr>
              <w:pStyle w:val="Normal"/>
              <w:rPr>
                <w:rFonts w:ascii="Arial" w:hAnsi="Arial" w:cs="Arial"/>
              </w:rPr>
            </w:pPr>
            <w:r>
              <w:rPr>
                <w:rFonts w:cs="Arial" w:ascii="Arial" w:hAnsi="Arial"/>
              </w:rPr>
              <w:t>Brownsville</w:t>
            </w:r>
          </w:p>
        </w:tc>
        <w:tc>
          <w:tcPr>
            <w:tcW w:w="1301" w:type="dxa"/>
            <w:tcBorders>
              <w:top w:val="single" w:sz="4" w:space="0" w:color="000000"/>
              <w:start w:val="single" w:sz="4" w:space="0" w:color="000000"/>
              <w:bottom w:val="single" w:sz="4" w:space="0" w:color="000000"/>
              <w:end w:val="single" w:sz="4" w:space="0" w:color="000000"/>
            </w:tcBorders>
            <w:shd w:fill="E5E5E5" w:val="clear"/>
          </w:tcPr>
          <w:p>
            <w:pPr>
              <w:pStyle w:val="Normal"/>
              <w:rPr>
                <w:rFonts w:ascii="Arial" w:hAnsi="Arial" w:cs="Arial"/>
              </w:rPr>
            </w:pPr>
            <w:r>
              <w:rPr>
                <w:rFonts w:cs="Arial" w:ascii="Arial" w:hAnsi="Arial"/>
              </w:rPr>
              <w:t>Caledonia</w:t>
            </w:r>
          </w:p>
        </w:tc>
        <w:tc>
          <w:tcPr>
            <w:tcW w:w="1301" w:type="dxa"/>
            <w:tcBorders>
              <w:top w:val="single" w:sz="4" w:space="0" w:color="000000"/>
              <w:start w:val="single" w:sz="4" w:space="0" w:color="000000"/>
              <w:bottom w:val="single" w:sz="4" w:space="0" w:color="000000"/>
              <w:end w:val="single" w:sz="4" w:space="0" w:color="000000"/>
            </w:tcBorders>
            <w:shd w:fill="E5E5E5" w:val="clear"/>
          </w:tcPr>
          <w:p>
            <w:pPr>
              <w:pStyle w:val="Normal"/>
              <w:rPr>
                <w:rFonts w:ascii="Arial" w:hAnsi="Arial" w:cs="Arial"/>
              </w:rPr>
            </w:pPr>
            <w:r>
              <w:rPr>
                <w:rFonts w:cs="Arial" w:ascii="Arial" w:hAnsi="Arial"/>
              </w:rPr>
              <w:t>New Albany</w:t>
            </w:r>
          </w:p>
        </w:tc>
        <w:tc>
          <w:tcPr>
            <w:tcW w:w="1407" w:type="dxa"/>
            <w:tcBorders>
              <w:top w:val="single" w:sz="4" w:space="0" w:color="000000"/>
              <w:start w:val="single" w:sz="4" w:space="0" w:color="000000"/>
              <w:bottom w:val="single" w:sz="4" w:space="0" w:color="000000"/>
              <w:end w:val="single" w:sz="4" w:space="0" w:color="000000"/>
            </w:tcBorders>
            <w:shd w:fill="E5E5E5" w:val="clear"/>
          </w:tcPr>
          <w:p>
            <w:pPr>
              <w:pStyle w:val="Normal"/>
              <w:rPr>
                <w:rFonts w:ascii="Arial" w:hAnsi="Arial" w:cs="Arial"/>
              </w:rPr>
            </w:pPr>
            <w:r>
              <w:rPr>
                <w:rFonts w:cs="Arial" w:ascii="Arial" w:hAnsi="Arial"/>
              </w:rPr>
              <w:t>Wilton Center</w:t>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rPr>
                <w:rFonts w:ascii="Arial" w:hAnsi="Arial" w:cs="Arial"/>
              </w:rPr>
            </w:pPr>
            <w:r>
              <w:rPr>
                <w:rFonts w:cs="Arial" w:ascii="Arial" w:hAnsi="Arial"/>
              </w:rPr>
              <w:t>Wheatland</w:t>
            </w:r>
          </w:p>
        </w:tc>
        <w:tc>
          <w:tcPr>
            <w:tcW w:w="1350" w:type="dxa"/>
            <w:tcBorders>
              <w:top w:val="single" w:sz="4" w:space="0" w:color="000000"/>
              <w:start w:val="single" w:sz="4" w:space="0" w:color="000000"/>
              <w:bottom w:val="single" w:sz="4" w:space="0" w:color="000000"/>
              <w:end w:val="single" w:sz="4" w:space="0" w:color="000000"/>
            </w:tcBorders>
            <w:shd w:fill="E5E5E5" w:val="clear"/>
          </w:tcPr>
          <w:p>
            <w:pPr>
              <w:pStyle w:val="Normal"/>
              <w:rPr>
                <w:rFonts w:ascii="Arial" w:hAnsi="Arial" w:cs="Arial"/>
              </w:rPr>
            </w:pPr>
            <w:r>
              <w:rPr>
                <w:rFonts w:cs="Arial" w:ascii="Arial" w:hAnsi="Arial"/>
              </w:rPr>
              <w:t>Gleason</w:t>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rPr>
                <w:rFonts w:ascii="Arial" w:hAnsi="Arial" w:cs="Arial"/>
              </w:rPr>
            </w:pPr>
            <w:r>
              <w:rPr>
                <w:rFonts w:cs="Arial" w:ascii="Arial" w:hAnsi="Arial"/>
              </w:rPr>
              <w:t>Moore</w:t>
            </w:r>
          </w:p>
        </w:tc>
        <w:tc>
          <w:tcPr>
            <w:tcW w:w="1350" w:type="dxa"/>
            <w:tcBorders>
              <w:top w:val="single" w:sz="4" w:space="0" w:color="000000"/>
              <w:start w:val="single" w:sz="4" w:space="0" w:color="000000"/>
              <w:bottom w:val="single" w:sz="4" w:space="0" w:color="000000"/>
              <w:end w:val="single" w:sz="4" w:space="0" w:color="000000"/>
            </w:tcBorders>
            <w:shd w:fill="E5E5E5" w:val="clear"/>
          </w:tcPr>
          <w:p>
            <w:pPr>
              <w:pStyle w:val="Normal"/>
              <w:rPr>
                <w:rFonts w:ascii="Arial" w:hAnsi="Arial" w:cs="Arial"/>
              </w:rPr>
            </w:pPr>
            <w:r>
              <w:rPr>
                <w:rFonts w:cs="Arial" w:ascii="Arial" w:hAnsi="Arial"/>
              </w:rPr>
              <w:t>Pastoria</w:t>
            </w:r>
          </w:p>
        </w:tc>
        <w:tc>
          <w:tcPr>
            <w:tcW w:w="1350" w:type="dxa"/>
            <w:tcBorders>
              <w:top w:val="single" w:sz="4" w:space="0" w:color="000000"/>
              <w:start w:val="single" w:sz="4" w:space="0" w:color="000000"/>
              <w:bottom w:val="single" w:sz="4" w:space="0" w:color="000000"/>
              <w:end w:val="single" w:sz="4" w:space="0" w:color="000000"/>
            </w:tcBorders>
            <w:shd w:fill="E5E5E5" w:val="clear"/>
          </w:tcPr>
          <w:p>
            <w:pPr>
              <w:pStyle w:val="Normal"/>
              <w:rPr>
                <w:rFonts w:ascii="Arial" w:hAnsi="Arial" w:cs="Arial"/>
              </w:rPr>
            </w:pPr>
            <w:r>
              <w:rPr>
                <w:rFonts w:cs="Arial" w:ascii="Arial" w:hAnsi="Arial"/>
              </w:rPr>
              <w:t>LV Cogen</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Output</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458</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446</w:t>
            </w:r>
            <w:r>
              <w:rPr>
                <w:rStyle w:val="FootnoteCharacters"/>
                <w:rStyle w:val="FootnoteReference"/>
                <w:rFonts w:cs="Arial" w:ascii="Arial" w:hAnsi="Arial"/>
              </w:rPr>
              <w:footnoteReference w:id="2"/>
            </w:r>
          </w:p>
        </w:tc>
        <w:tc>
          <w:tcPr>
            <w:tcW w:w="1301"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rPr>
              <w:t>356</w:t>
            </w:r>
            <w:r>
              <w:rPr>
                <w:rFonts w:cs="Arial" w:ascii="Arial" w:hAnsi="Arial"/>
                <w:vertAlign w:val="superscript"/>
              </w:rPr>
              <w:t>1</w:t>
            </w:r>
            <w:r>
              <w:rPr>
                <w:rFonts w:cs="Arial" w:ascii="Arial" w:hAnsi="Arial"/>
              </w:rPr>
              <w:t xml:space="preserve"> </w:t>
            </w:r>
          </w:p>
        </w:tc>
        <w:tc>
          <w:tcPr>
            <w:tcW w:w="140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608</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470</w:t>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510</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750</w:t>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208</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On Peak Hours</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HE 0700 – HE 2200</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HE 0700 – HE 2200</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HE 0700 – HE 2200</w:t>
            </w:r>
          </w:p>
        </w:tc>
        <w:tc>
          <w:tcPr>
            <w:tcW w:w="140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HE 0700 – HE 2200</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HE 0700 – HE 2200</w:t>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HE 0700 – HE 2200</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HE 0700 – HE 2200</w:t>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HE 0700 – HE 2200</w:t>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HE 0700 – HE 2200</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Guaranteed Heat Rate</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11,406</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12,064</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12,500</w:t>
            </w:r>
          </w:p>
        </w:tc>
        <w:tc>
          <w:tcPr>
            <w:tcW w:w="140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11,973</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11,734</w:t>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10,592</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7000</w:t>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7825</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Initial Fixed Price Period</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Three years beginning 1/1/2001</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Three years beginning 1/1/2001</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Three years beginning 1/1/2001</w:t>
            </w:r>
          </w:p>
        </w:tc>
        <w:tc>
          <w:tcPr>
            <w:tcW w:w="140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Three years beginning 1/1/2001</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Three years beginning 1/1/2001</w:t>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Three years beginning 1/1/2001</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Four (4) years from substantial completion</w:t>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Five (5) years from substantial completion</w:t>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Five (5) years from substantial completion</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Rights to Extend Fixed Price Period</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Initial option to extend for a period of three (3) years with two (2) additional rights to extend for five years each</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Initial option to extend for a period of three (3) years with two (2) additional rights to extend for five years each</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Initial option to extend for a period of three (3) years with two (2) additional rights to extend for five years each</w:t>
            </w:r>
          </w:p>
        </w:tc>
        <w:tc>
          <w:tcPr>
            <w:tcW w:w="140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Initial option to extend for a period of three (3) years with two (2) additional rights to extend for five years each</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Initial option to extend for a period of three (3) years with two (2) additional rights to extend for five years each</w:t>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Initial option to extend for a period of three (3) years with two (2) additional rights to extend for five years each</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Market Price Period</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Beginning upon the expiration of the Fixed Price Period and ending on 12/31/2020</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Beginning upon the expiration of the Fixed Price Period and ending on 12/31/2020</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Beginning upon the expiration of the Fixed Price Period and ending on 12/31/2020</w:t>
            </w:r>
          </w:p>
        </w:tc>
        <w:tc>
          <w:tcPr>
            <w:tcW w:w="140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Beginning upon the expiration of the Fixed Price Period and ending on 12/31/2020</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Beginning upon the expiration of the Fixed Price Period and ending on 12/31/2020</w:t>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Beginning upon the expiration of the Fixed Price Period and ending on 12/31/2020</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Beginning upon the expiration of the Fixed Price Period and ending twenty (20) years later</w:t>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Beginning upon the expiration of the Fixed Price Period and ending twenty (20) years later</w:t>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Beginning upon the expiration of the Fixed Price Period and ending twenty (20) years later</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Demand Charge ($/Kwm) during the Initial Fixed Price Period</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$4.00</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$4.00</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$4.00</w:t>
            </w:r>
          </w:p>
        </w:tc>
        <w:tc>
          <w:tcPr>
            <w:tcW w:w="140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$4.00</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$4.00</w:t>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$4.00</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$7.42</w:t>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$5.34</w:t>
            </w:r>
          </w:p>
        </w:tc>
      </w:tr>
    </w:tbl>
    <w:p>
      <w:pPr>
        <w:pStyle w:val="Normal"/>
        <w:rPr/>
      </w:pPr>
      <w:r>
        <w:br w:type="page"/>
      </w:r>
      <w:r>
        <w:rPr/>
      </w:r>
    </w:p>
    <w:tbl>
      <w:tblPr>
        <w:tblW w:w="13878" w:type="dxa"/>
        <w:jc w:val="start"/>
        <w:tblInd w:w="0" w:type="dxa"/>
        <w:tblLayout w:type="fixed"/>
        <w:tblCellMar>
          <w:top w:w="0" w:type="dxa"/>
          <w:start w:w="108" w:type="dxa"/>
          <w:bottom w:w="0" w:type="dxa"/>
          <w:end w:w="108" w:type="dxa"/>
        </w:tblCellMar>
      </w:tblPr>
      <w:tblGrid>
        <w:gridCol w:w="1638"/>
        <w:gridCol w:w="1301"/>
        <w:gridCol w:w="1301"/>
        <w:gridCol w:w="1301"/>
        <w:gridCol w:w="1407"/>
        <w:gridCol w:w="1440"/>
        <w:gridCol w:w="1350"/>
        <w:gridCol w:w="1440"/>
        <w:gridCol w:w="1350"/>
        <w:gridCol w:w="1350"/>
      </w:tblGrid>
      <w:tr>
        <w:trPr>
          <w:tblHeader w:val="true"/>
        </w:trPr>
        <w:tc>
          <w:tcPr>
            <w:tcW w:w="13878" w:type="dxa"/>
            <w:gridSpan w:val="10"/>
            <w:tcBorders>
              <w:top w:val="single" w:sz="4" w:space="0" w:color="000000"/>
              <w:start w:val="single" w:sz="4" w:space="0" w:color="000000"/>
              <w:bottom w:val="single" w:sz="4" w:space="0" w:color="000000"/>
              <w:end w:val="single" w:sz="4" w:space="0" w:color="000000"/>
            </w:tcBorders>
            <w:shd w:fill="E5E5E5" w:val="clear"/>
          </w:tcPr>
          <w:p>
            <w:pPr>
              <w:pStyle w:val="Heading1"/>
              <w:ind w:hanging="0" w:start="0"/>
              <w:rPr/>
            </w:pPr>
            <w:r>
              <w:rPr/>
              <w:t>PPA SUMMARY TABLE</w:t>
            </w:r>
          </w:p>
        </w:tc>
      </w:tr>
      <w:tr>
        <w:trPr>
          <w:tblHeader w:val="true"/>
        </w:trPr>
        <w:tc>
          <w:tcPr>
            <w:tcW w:w="1638"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rPr>
                <w:rFonts w:ascii="Arial" w:hAnsi="Arial" w:cs="Arial"/>
              </w:rPr>
            </w:pPr>
            <w:r>
              <w:rPr>
                <w:rFonts w:cs="Arial" w:ascii="Arial" w:hAnsi="Arial"/>
              </w:rPr>
            </w:r>
          </w:p>
        </w:tc>
        <w:tc>
          <w:tcPr>
            <w:tcW w:w="1301" w:type="dxa"/>
            <w:tcBorders>
              <w:top w:val="single" w:sz="4" w:space="0" w:color="000000"/>
              <w:start w:val="single" w:sz="4" w:space="0" w:color="000000"/>
              <w:bottom w:val="single" w:sz="4" w:space="0" w:color="000000"/>
              <w:end w:val="single" w:sz="4" w:space="0" w:color="000000"/>
            </w:tcBorders>
            <w:shd w:fill="E5E5E5" w:val="clear"/>
          </w:tcPr>
          <w:p>
            <w:pPr>
              <w:pStyle w:val="Normal"/>
              <w:rPr>
                <w:rFonts w:ascii="Arial" w:hAnsi="Arial" w:cs="Arial"/>
              </w:rPr>
            </w:pPr>
            <w:r>
              <w:rPr>
                <w:rFonts w:cs="Arial" w:ascii="Arial" w:hAnsi="Arial"/>
              </w:rPr>
              <w:t>Brownsville</w:t>
            </w:r>
          </w:p>
        </w:tc>
        <w:tc>
          <w:tcPr>
            <w:tcW w:w="1301" w:type="dxa"/>
            <w:tcBorders>
              <w:top w:val="single" w:sz="4" w:space="0" w:color="000000"/>
              <w:start w:val="single" w:sz="4" w:space="0" w:color="000000"/>
              <w:bottom w:val="single" w:sz="4" w:space="0" w:color="000000"/>
              <w:end w:val="single" w:sz="4" w:space="0" w:color="000000"/>
            </w:tcBorders>
            <w:shd w:fill="E5E5E5" w:val="clear"/>
          </w:tcPr>
          <w:p>
            <w:pPr>
              <w:pStyle w:val="Normal"/>
              <w:rPr>
                <w:rFonts w:ascii="Arial" w:hAnsi="Arial" w:cs="Arial"/>
              </w:rPr>
            </w:pPr>
            <w:r>
              <w:rPr>
                <w:rFonts w:cs="Arial" w:ascii="Arial" w:hAnsi="Arial"/>
              </w:rPr>
              <w:t>Caledonia</w:t>
            </w:r>
          </w:p>
        </w:tc>
        <w:tc>
          <w:tcPr>
            <w:tcW w:w="1301" w:type="dxa"/>
            <w:tcBorders>
              <w:top w:val="single" w:sz="4" w:space="0" w:color="000000"/>
              <w:start w:val="single" w:sz="4" w:space="0" w:color="000000"/>
              <w:bottom w:val="single" w:sz="4" w:space="0" w:color="000000"/>
              <w:end w:val="single" w:sz="4" w:space="0" w:color="000000"/>
            </w:tcBorders>
            <w:shd w:fill="E5E5E5" w:val="clear"/>
          </w:tcPr>
          <w:p>
            <w:pPr>
              <w:pStyle w:val="Normal"/>
              <w:rPr>
                <w:rFonts w:ascii="Arial" w:hAnsi="Arial" w:cs="Arial"/>
              </w:rPr>
            </w:pPr>
            <w:r>
              <w:rPr>
                <w:rFonts w:cs="Arial" w:ascii="Arial" w:hAnsi="Arial"/>
              </w:rPr>
              <w:t>New Albany</w:t>
            </w:r>
          </w:p>
        </w:tc>
        <w:tc>
          <w:tcPr>
            <w:tcW w:w="1407" w:type="dxa"/>
            <w:tcBorders>
              <w:top w:val="single" w:sz="4" w:space="0" w:color="000000"/>
              <w:start w:val="single" w:sz="4" w:space="0" w:color="000000"/>
              <w:bottom w:val="single" w:sz="4" w:space="0" w:color="000000"/>
              <w:end w:val="single" w:sz="4" w:space="0" w:color="000000"/>
            </w:tcBorders>
            <w:shd w:fill="E5E5E5" w:val="clear"/>
          </w:tcPr>
          <w:p>
            <w:pPr>
              <w:pStyle w:val="Normal"/>
              <w:rPr>
                <w:rFonts w:ascii="Arial" w:hAnsi="Arial" w:cs="Arial"/>
              </w:rPr>
            </w:pPr>
            <w:r>
              <w:rPr>
                <w:rFonts w:cs="Arial" w:ascii="Arial" w:hAnsi="Arial"/>
              </w:rPr>
              <w:t>Wilton Center</w:t>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rPr>
                <w:rFonts w:ascii="Arial" w:hAnsi="Arial" w:cs="Arial"/>
              </w:rPr>
            </w:pPr>
            <w:r>
              <w:rPr>
                <w:rFonts w:cs="Arial" w:ascii="Arial" w:hAnsi="Arial"/>
              </w:rPr>
              <w:t>Wheatland</w:t>
            </w:r>
          </w:p>
        </w:tc>
        <w:tc>
          <w:tcPr>
            <w:tcW w:w="1350" w:type="dxa"/>
            <w:tcBorders>
              <w:top w:val="single" w:sz="4" w:space="0" w:color="000000"/>
              <w:start w:val="single" w:sz="4" w:space="0" w:color="000000"/>
              <w:bottom w:val="single" w:sz="4" w:space="0" w:color="000000"/>
              <w:end w:val="single" w:sz="4" w:space="0" w:color="000000"/>
            </w:tcBorders>
            <w:shd w:fill="E5E5E5" w:val="clear"/>
          </w:tcPr>
          <w:p>
            <w:pPr>
              <w:pStyle w:val="Normal"/>
              <w:rPr>
                <w:rFonts w:ascii="Arial" w:hAnsi="Arial" w:cs="Arial"/>
              </w:rPr>
            </w:pPr>
            <w:r>
              <w:rPr>
                <w:rFonts w:cs="Arial" w:ascii="Arial" w:hAnsi="Arial"/>
              </w:rPr>
              <w:t>Gleason</w:t>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rPr>
                <w:rFonts w:ascii="Arial" w:hAnsi="Arial" w:cs="Arial"/>
              </w:rPr>
            </w:pPr>
            <w:r>
              <w:rPr>
                <w:rFonts w:cs="Arial" w:ascii="Arial" w:hAnsi="Arial"/>
              </w:rPr>
              <w:t>Moore</w:t>
            </w:r>
          </w:p>
        </w:tc>
        <w:tc>
          <w:tcPr>
            <w:tcW w:w="1350" w:type="dxa"/>
            <w:tcBorders>
              <w:top w:val="single" w:sz="4" w:space="0" w:color="000000"/>
              <w:start w:val="single" w:sz="4" w:space="0" w:color="000000"/>
              <w:bottom w:val="single" w:sz="4" w:space="0" w:color="000000"/>
              <w:end w:val="single" w:sz="4" w:space="0" w:color="000000"/>
            </w:tcBorders>
            <w:shd w:fill="E5E5E5" w:val="clear"/>
          </w:tcPr>
          <w:p>
            <w:pPr>
              <w:pStyle w:val="Normal"/>
              <w:rPr>
                <w:rFonts w:ascii="Arial" w:hAnsi="Arial" w:cs="Arial"/>
              </w:rPr>
            </w:pPr>
            <w:r>
              <w:rPr>
                <w:rFonts w:cs="Arial" w:ascii="Arial" w:hAnsi="Arial"/>
              </w:rPr>
              <w:t>Pastoria</w:t>
            </w:r>
          </w:p>
        </w:tc>
        <w:tc>
          <w:tcPr>
            <w:tcW w:w="1350" w:type="dxa"/>
            <w:tcBorders>
              <w:top w:val="single" w:sz="4" w:space="0" w:color="000000"/>
              <w:start w:val="single" w:sz="4" w:space="0" w:color="000000"/>
              <w:bottom w:val="single" w:sz="4" w:space="0" w:color="000000"/>
              <w:end w:val="single" w:sz="4" w:space="0" w:color="000000"/>
            </w:tcBorders>
            <w:shd w:fill="E5E5E5" w:val="clear"/>
          </w:tcPr>
          <w:p>
            <w:pPr>
              <w:pStyle w:val="Normal"/>
              <w:rPr>
                <w:rFonts w:ascii="Arial" w:hAnsi="Arial" w:cs="Arial"/>
              </w:rPr>
            </w:pPr>
            <w:r>
              <w:rPr>
                <w:rFonts w:cs="Arial" w:ascii="Arial" w:hAnsi="Arial"/>
              </w:rPr>
              <w:t>LV Cogen</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Demand Charge ($Kwm) during extensions of the Fixed Price Period (if any):</w:t>
            </w:r>
          </w:p>
          <w:p>
            <w:pPr>
              <w:pStyle w:val="Normal"/>
              <w:numPr>
                <w:ilvl w:val="0"/>
                <w:numId w:val="4"/>
              </w:numPr>
              <w:rPr>
                <w:rFonts w:ascii="Arial" w:hAnsi="Arial" w:cs="Arial"/>
              </w:rPr>
            </w:pPr>
            <w:r>
              <w:rPr>
                <w:rFonts w:cs="Arial" w:ascii="Arial" w:hAnsi="Arial"/>
              </w:rPr>
              <w:t>First Extension</w:t>
            </w:r>
          </w:p>
          <w:p>
            <w:pPr>
              <w:pStyle w:val="Normal"/>
              <w:numPr>
                <w:ilvl w:val="0"/>
                <w:numId w:val="4"/>
              </w:numPr>
              <w:rPr>
                <w:rFonts w:ascii="Arial" w:hAnsi="Arial" w:cs="Arial"/>
              </w:rPr>
            </w:pPr>
            <w:r>
              <w:rPr>
                <w:rFonts w:cs="Arial" w:ascii="Arial" w:hAnsi="Arial"/>
              </w:rPr>
              <w:t>Second Extension</w:t>
            </w:r>
          </w:p>
          <w:p>
            <w:pPr>
              <w:pStyle w:val="Normal"/>
              <w:numPr>
                <w:ilvl w:val="0"/>
                <w:numId w:val="4"/>
              </w:numPr>
              <w:rPr>
                <w:rFonts w:ascii="Arial" w:hAnsi="Arial" w:cs="Arial"/>
              </w:rPr>
            </w:pPr>
            <w:r>
              <w:rPr>
                <w:rFonts w:cs="Arial" w:ascii="Arial" w:hAnsi="Arial"/>
              </w:rPr>
              <w:t>Third Extension</w:t>
            </w:r>
          </w:p>
        </w:tc>
        <w:tc>
          <w:tcPr>
            <w:tcW w:w="13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3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3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Energy Charge ($/MW)</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$0.69</w:t>
            </w:r>
          </w:p>
        </w:tc>
        <w:tc>
          <w:tcPr>
            <w:tcW w:w="1301"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$0.07</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$0.14</w:t>
            </w:r>
          </w:p>
        </w:tc>
        <w:tc>
          <w:tcPr>
            <w:tcW w:w="140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$0.03</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$2.36</w:t>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$0.34</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$1.60</w:t>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$1.75</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Start Charge</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$1,500</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$1,500</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$1,500</w:t>
            </w:r>
          </w:p>
        </w:tc>
        <w:tc>
          <w:tcPr>
            <w:tcW w:w="140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$1,500</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$1,500</w:t>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$1,500</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Max Callable Hours</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1365</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1685</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1086</w:t>
            </w:r>
          </w:p>
        </w:tc>
        <w:tc>
          <w:tcPr>
            <w:tcW w:w="140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3250</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902</w:t>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915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Minimum Availability:</w:t>
            </w:r>
          </w:p>
          <w:p>
            <w:pPr>
              <w:pStyle w:val="Normal"/>
              <w:numPr>
                <w:ilvl w:val="0"/>
                <w:numId w:val="3"/>
              </w:numPr>
              <w:rPr>
                <w:rFonts w:ascii="Arial" w:hAnsi="Arial" w:cs="Arial"/>
              </w:rPr>
            </w:pPr>
            <w:r>
              <w:rPr>
                <w:rFonts w:cs="Arial" w:ascii="Arial" w:hAnsi="Arial"/>
              </w:rPr>
              <w:t>Summer Months</w:t>
            </w:r>
          </w:p>
          <w:p>
            <w:pPr>
              <w:pStyle w:val="Normal"/>
              <w:numPr>
                <w:ilvl w:val="0"/>
                <w:numId w:val="3"/>
              </w:numPr>
              <w:rPr>
                <w:rFonts w:ascii="Arial" w:hAnsi="Arial" w:cs="Arial"/>
              </w:rPr>
            </w:pPr>
            <w:r>
              <w:rPr>
                <w:rFonts w:cs="Arial" w:ascii="Arial" w:hAnsi="Arial"/>
              </w:rPr>
              <w:t>Shoulder Months</w:t>
            </w:r>
          </w:p>
          <w:p>
            <w:pPr>
              <w:pStyle w:val="Normal"/>
              <w:numPr>
                <w:ilvl w:val="0"/>
                <w:numId w:val="3"/>
              </w:numPr>
              <w:rPr>
                <w:rFonts w:ascii="Arial" w:hAnsi="Arial" w:cs="Arial"/>
              </w:rPr>
            </w:pPr>
            <w:r>
              <w:rPr>
                <w:rFonts w:cs="Arial" w:ascii="Arial" w:hAnsi="Arial"/>
              </w:rPr>
              <w:t>Winter Months</w:t>
            </w:r>
          </w:p>
          <w:p>
            <w:pPr>
              <w:pStyle w:val="Normal"/>
              <w:rPr>
                <w:rFonts w:ascii="Arial" w:hAnsi="Arial" w:cs="Arial"/>
              </w:rPr>
            </w:pPr>
            <w:r>
              <w:rPr>
                <w:rFonts w:cs="Arial" w:ascii="Arial" w:hAnsi="Arial"/>
              </w:rPr>
            </w:r>
          </w:p>
        </w:tc>
        <w:tc>
          <w:tcPr>
            <w:tcW w:w="13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98%</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95%</w:t>
            </w:r>
            <w:r>
              <w:rPr>
                <w:rStyle w:val="FootnoteCharacters"/>
                <w:rStyle w:val="FootnoteReference"/>
                <w:rFonts w:cs="Arial" w:ascii="Arial" w:hAnsi="Arial"/>
              </w:rPr>
              <w:footnoteReference w:id="3"/>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95%</w:t>
            </w:r>
          </w:p>
        </w:tc>
        <w:tc>
          <w:tcPr>
            <w:tcW w:w="13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98%</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95%</w:t>
            </w:r>
            <w:r>
              <w:rPr>
                <w:rFonts w:cs="Arial" w:ascii="Arial" w:hAnsi="Arial"/>
                <w:vertAlign w:val="superscript"/>
              </w:rPr>
              <w:t>2</w:t>
            </w:r>
          </w:p>
          <w:p>
            <w:pPr>
              <w:pStyle w:val="Normal"/>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95%</w:t>
            </w:r>
          </w:p>
        </w:tc>
        <w:tc>
          <w:tcPr>
            <w:tcW w:w="13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98%</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95%</w:t>
            </w:r>
            <w:r>
              <w:rPr>
                <w:rStyle w:val="FootnoteCharacters"/>
                <w:rStyle w:val="FootnoteReference"/>
                <w:rFonts w:cs="Arial" w:ascii="Arial" w:hAnsi="Arial"/>
              </w:rPr>
              <w:footnoteReference w:id="4"/>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95%</w:t>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98%</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95%</w:t>
            </w:r>
            <w:r>
              <w:rPr>
                <w:rFonts w:cs="Arial" w:ascii="Arial" w:hAnsi="Arial"/>
                <w:vertAlign w:val="superscript"/>
              </w:rPr>
              <w:t>3</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95%</w:t>
            </w:r>
          </w:p>
        </w:tc>
        <w:tc>
          <w:tcPr>
            <w:tcW w:w="14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98%</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95%</w:t>
            </w:r>
            <w:r>
              <w:rPr>
                <w:rFonts w:cs="Arial" w:ascii="Arial" w:hAnsi="Arial"/>
                <w:vertAlign w:val="superscript"/>
              </w:rPr>
              <w:t>2</w:t>
            </w:r>
          </w:p>
          <w:p>
            <w:pPr>
              <w:pStyle w:val="Head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t>95%</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98%</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95%</w:t>
            </w:r>
            <w:r>
              <w:rPr>
                <w:rFonts w:cs="Arial" w:ascii="Arial" w:hAnsi="Arial"/>
                <w:vertAlign w:val="superscript"/>
              </w:rPr>
              <w:t>3</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95%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97%</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97%</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97%</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97%</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97%</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97%</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97%</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97%</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97%</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Damage Multiplier:</w:t>
            </w:r>
          </w:p>
          <w:p>
            <w:pPr>
              <w:pStyle w:val="Normal"/>
              <w:numPr>
                <w:ilvl w:val="0"/>
                <w:numId w:val="2"/>
              </w:numPr>
              <w:rPr>
                <w:rFonts w:ascii="Arial" w:hAnsi="Arial" w:cs="Arial"/>
              </w:rPr>
            </w:pPr>
            <w:r>
              <w:rPr>
                <w:rFonts w:cs="Arial" w:ascii="Arial" w:hAnsi="Arial"/>
              </w:rPr>
              <w:t>Summer Months</w:t>
            </w:r>
          </w:p>
          <w:p>
            <w:pPr>
              <w:pStyle w:val="Normal"/>
              <w:numPr>
                <w:ilvl w:val="0"/>
                <w:numId w:val="2"/>
              </w:numPr>
              <w:rPr>
                <w:rFonts w:ascii="Arial" w:hAnsi="Arial" w:cs="Arial"/>
              </w:rPr>
            </w:pPr>
            <w:r>
              <w:rPr>
                <w:rFonts w:cs="Arial" w:ascii="Arial" w:hAnsi="Arial"/>
              </w:rPr>
              <w:t>Shoulder Months</w:t>
            </w:r>
          </w:p>
          <w:p>
            <w:pPr>
              <w:pStyle w:val="Normal"/>
              <w:numPr>
                <w:ilvl w:val="0"/>
                <w:numId w:val="2"/>
              </w:numPr>
              <w:rPr>
                <w:rFonts w:ascii="Arial" w:hAnsi="Arial" w:cs="Arial"/>
              </w:rPr>
            </w:pPr>
            <w:r>
              <w:rPr>
                <w:rFonts w:cs="Arial" w:ascii="Arial" w:hAnsi="Arial"/>
              </w:rPr>
              <w:t>Winter Months</w:t>
            </w:r>
          </w:p>
          <w:p>
            <w:pPr>
              <w:pStyle w:val="Normal"/>
              <w:rPr>
                <w:rFonts w:ascii="Arial" w:hAnsi="Arial" w:eastAsia="Arial" w:cs="Arial"/>
              </w:rPr>
            </w:pPr>
            <w:r>
              <w:rPr>
                <w:rFonts w:eastAsia="Arial" w:cs="Arial" w:ascii="Arial" w:hAnsi="Arial"/>
              </w:rPr>
              <w:t xml:space="preserve">    </w:t>
            </w:r>
          </w:p>
        </w:tc>
        <w:tc>
          <w:tcPr>
            <w:tcW w:w="13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5</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3</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1</w:t>
            </w:r>
          </w:p>
          <w:p>
            <w:pPr>
              <w:pStyle w:val="Normal"/>
              <w:rPr>
                <w:rFonts w:ascii="Arial" w:hAnsi="Arial" w:cs="Arial"/>
              </w:rPr>
            </w:pPr>
            <w:r>
              <w:rPr>
                <w:rFonts w:cs="Arial" w:ascii="Arial" w:hAnsi="Arial"/>
              </w:rPr>
            </w:r>
          </w:p>
        </w:tc>
        <w:tc>
          <w:tcPr>
            <w:tcW w:w="13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5</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3</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1</w:t>
            </w:r>
          </w:p>
          <w:p>
            <w:pPr>
              <w:pStyle w:val="Normal"/>
              <w:rPr>
                <w:rFonts w:ascii="Arial" w:hAnsi="Arial" w:cs="Arial"/>
              </w:rPr>
            </w:pPr>
            <w:r>
              <w:rPr>
                <w:rFonts w:cs="Arial" w:ascii="Arial" w:hAnsi="Arial"/>
              </w:rPr>
            </w:r>
          </w:p>
        </w:tc>
        <w:tc>
          <w:tcPr>
            <w:tcW w:w="13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5</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3</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1</w:t>
            </w:r>
          </w:p>
          <w:p>
            <w:pPr>
              <w:pStyle w:val="Normal"/>
              <w:rPr>
                <w:rFonts w:ascii="Arial" w:hAnsi="Arial" w:cs="Arial"/>
              </w:rPr>
            </w:pPr>
            <w:r>
              <w:rPr>
                <w:rFonts w:cs="Arial" w:ascii="Arial" w:hAnsi="Arial"/>
              </w:rPr>
            </w:r>
          </w:p>
        </w:tc>
        <w:tc>
          <w:tcPr>
            <w:tcW w:w="140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5</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3</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1</w:t>
            </w:r>
          </w:p>
          <w:p>
            <w:pPr>
              <w:pStyle w:val="Normal"/>
              <w:rPr>
                <w:rFonts w:ascii="Arial" w:hAnsi="Arial" w:cs="Arial"/>
              </w:rPr>
            </w:pPr>
            <w:r>
              <w:rPr>
                <w:rFonts w:cs="Arial" w:ascii="Arial" w:hAnsi="Arial"/>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5</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3</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1</w:t>
            </w:r>
          </w:p>
          <w:p>
            <w:pPr>
              <w:pStyle w:val="Normal"/>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5</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3</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1</w:t>
            </w:r>
          </w:p>
          <w:p>
            <w:pPr>
              <w:pStyle w:val="Normal"/>
              <w:rPr>
                <w:rFonts w:ascii="Arial" w:hAnsi="Arial" w:cs="Arial"/>
              </w:rPr>
            </w:pPr>
            <w:r>
              <w:rPr>
                <w:rFonts w:cs="Arial" w:ascii="Arial" w:hAnsi="Arial"/>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5/1/1 was proposed but waiting to see if the change in the definitions of Summer, Shoulder and Winter Months changes things</w:t>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5/1/1 was proposed but waiting to see if the change in the definitions of Summer, Shoulder and Winter Months changes things</w:t>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5/1/1 was proposed but waiting to see if the change in the definitions of Summer, Shoulder and Winter Months changes things</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Minimum Block Size</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50</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50</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50</w:t>
            </w:r>
          </w:p>
        </w:tc>
        <w:tc>
          <w:tcPr>
            <w:tcW w:w="140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50</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50</w:t>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50</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Min Dispatch Notice (minutes)</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35</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25</w:t>
            </w:r>
          </w:p>
        </w:tc>
        <w:tc>
          <w:tcPr>
            <w:tcW w:w="130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20</w:t>
            </w:r>
          </w:p>
        </w:tc>
        <w:tc>
          <w:tcPr>
            <w:tcW w:w="140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30</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30</w:t>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30</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30</w:t>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30</w:t>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30</w:t>
            </w:r>
          </w:p>
        </w:tc>
      </w:tr>
    </w:tbl>
    <w:p>
      <w:pPr>
        <w:pStyle w:val="Normal"/>
        <w:rPr/>
      </w:pPr>
      <w:r>
        <w:rPr/>
      </w:r>
    </w:p>
    <w:p>
      <w:pPr>
        <w:pStyle w:val="Normal"/>
        <w:rPr/>
      </w:pPr>
      <w:r>
        <w:rPr/>
      </w:r>
    </w:p>
    <w:p>
      <w:pPr>
        <w:pStyle w:val="BodyText2"/>
        <w:rPr>
          <w:b w:val="false"/>
          <w:u w:val="none"/>
        </w:rPr>
      </w:pPr>
      <w:r>
        <w:rPr>
          <w:b w:val="false"/>
          <w:u w:val="none"/>
        </w:rPr>
        <w:t>**  Output and Heat Rate figures assuming new and clean 90º F, 14.524 p.s.i.a., 60% relative humidity</w:t>
      </w:r>
    </w:p>
    <w:p>
      <w:pPr>
        <w:pStyle w:val="BodyText2"/>
        <w:rPr>
          <w:b w:val="false"/>
          <w:u w:val="none"/>
        </w:rPr>
      </w:pPr>
      <w:r>
        <w:rPr>
          <w:b w:val="false"/>
          <w:u w:val="none"/>
        </w:rPr>
      </w:r>
    </w:p>
    <w:p>
      <w:pPr>
        <w:pStyle w:val="BodyText2"/>
        <w:rPr/>
      </w:pPr>
      <w:r>
        <w:rPr/>
        <w:t>[BLANKS REQUIRE INPUT FROM PROJECT DEVELOPERS/DESK]</w:t>
      </w:r>
    </w:p>
    <w:sectPr>
      <w:footerReference w:type="default" r:id="rId3"/>
      <w:footerReference w:type="first" r:id="rId4"/>
      <w:footnotePr>
        <w:numFmt w:val="decimal"/>
      </w:footnotePr>
      <w:type w:val="nextPage"/>
      <w:pgSz w:orient="landscape" w:w="15840" w:h="12240"/>
      <w:pgMar w:left="1440" w:right="1440" w:gutter="0" w:header="0" w:top="720" w:footer="475"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/mnt/main-storage/datasets/enron-docs/doc/E2_PPA_Term_Sheet.doc</w:t>
    </w:r>
    <w:r>
      <w:rPr>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/mnt/main-storage/datasets/enron-docs/doc/E2_PPA_Term_Sheet.doc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With the installation of evaporative coolers, output will increase to 466 for Caledonia and 371 for New Albany</w:t>
      </w:r>
    </w:p>
  </w:footnote>
  <w:footnote w:id="3">
    <w:p>
      <w:pPr>
        <w:pStyle w:val="FootnoteText"/>
        <w:rPr/>
      </w:pPr>
      <w:r>
        <w:rPr>
          <w:rStyle w:val="FootnoteCharacters"/>
        </w:rPr>
        <w:footnoteRef/>
      </w:r>
      <w:r>
        <w:rPr/>
        <w:t xml:space="preserve">  </w:t>
      </w:r>
      <w:r>
        <w:rPr/>
        <w:t>Excluding the entire month of March during which major maintenance could take place</w:t>
      </w:r>
    </w:p>
  </w:footnote>
  <w:footnote w:id="4">
    <w:p>
      <w:pPr>
        <w:pStyle w:val="FootnoteText"/>
        <w:rPr/>
      </w:pPr>
      <w:r>
        <w:rPr>
          <w:rStyle w:val="FootnoteCharacters"/>
        </w:rPr>
        <w:footnoteRef/>
      </w:r>
      <w:r>
        <w:rPr/>
        <w:t xml:space="preserve">  </w:t>
      </w:r>
      <w:r>
        <w:rPr/>
        <w:t>Excluding the entire month of October during which major maintenance could take place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sz w:val="24"/>
      <w:u w:val="single"/>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2000-04-25T19:50:00Z</dcterms:created>
  <dc:creator>lnoske</dc:creator>
  <dc:description/>
  <dc:language>en-CA</dc:language>
  <cp:lastModifiedBy>szisman</cp:lastModifiedBy>
  <cp:lastPrinted>2000-05-03T15:45:00Z</cp:lastPrinted>
  <dcterms:modified xsi:type="dcterms:W3CDTF">2000-05-03T18:15:00Z</dcterms:modified>
  <cp:revision>12</cp:revision>
  <dc:subject/>
  <dc:title>Power Purchase Agreements</dc:title>
</cp:coreProperties>
</file>